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47" w:rsidRPr="00442680" w:rsidRDefault="00822347" w:rsidP="00442680">
      <w:pPr>
        <w:spacing w:after="204" w:line="240" w:lineRule="auto"/>
        <w:rPr>
          <w:rFonts w:ascii="Times New Roman" w:eastAsia="Times New Roman" w:hAnsi="Times New Roman" w:cs="Times New Roman"/>
          <w:color w:val="1A1A1A"/>
          <w:lang w:eastAsia="it-IT"/>
        </w:rPr>
      </w:pPr>
      <w:r>
        <w:rPr>
          <w:rFonts w:ascii="Times New Roman" w:eastAsia="Times New Roman" w:hAnsi="Times New Roman" w:cs="Times New Roman"/>
          <w:noProof/>
          <w:color w:val="1A1A1A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-745969</wp:posOffset>
            </wp:positionH>
            <wp:positionV relativeFrom="paragraph">
              <wp:posOffset>-951554</wp:posOffset>
            </wp:positionV>
            <wp:extent cx="7925878" cy="10791645"/>
            <wp:effectExtent l="19050" t="0" r="0" b="0"/>
            <wp:wrapNone/>
            <wp:docPr id="3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78" cy="1079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125/</w:t>
      </w:r>
      <w:proofErr w:type="gramStart"/>
      <w:r>
        <w:rPr>
          <w:i/>
          <w:color w:val="984806"/>
          <w:sz w:val="16"/>
          <w:szCs w:val="16"/>
        </w:rPr>
        <w:t>A</w:t>
      </w:r>
      <w:proofErr w:type="gramEnd"/>
      <w:r>
        <w:rPr>
          <w:i/>
          <w:color w:val="984806"/>
          <w:sz w:val="16"/>
          <w:szCs w:val="16"/>
        </w:rPr>
        <w:t xml:space="preserve"> Albo Dottori Commercialisti ed Esperti Contabili di Trani</w:t>
      </w:r>
    </w:p>
    <w:p w:rsidR="007B4E4E" w:rsidRDefault="007B4E4E" w:rsidP="007B4E4E">
      <w:pPr>
        <w:spacing w:after="0" w:line="240" w:lineRule="auto"/>
        <w:rPr>
          <w:i/>
          <w:color w:val="984806"/>
          <w:sz w:val="16"/>
          <w:szCs w:val="1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 40</w:t>
      </w:r>
      <w:proofErr w:type="gramStart"/>
      <w:r>
        <w:rPr>
          <w:i/>
          <w:color w:val="984806"/>
          <w:sz w:val="16"/>
          <w:szCs w:val="16"/>
        </w:rPr>
        <w:t xml:space="preserve">    </w:t>
      </w:r>
      <w:proofErr w:type="gramEnd"/>
      <w:r>
        <w:rPr>
          <w:i/>
          <w:color w:val="984806"/>
          <w:sz w:val="16"/>
          <w:szCs w:val="16"/>
        </w:rPr>
        <w:t xml:space="preserve">Albo Consulenti del Lavoro Ordine </w:t>
      </w:r>
      <w:proofErr w:type="spellStart"/>
      <w:r>
        <w:rPr>
          <w:i/>
          <w:color w:val="984806"/>
          <w:sz w:val="16"/>
          <w:szCs w:val="16"/>
        </w:rPr>
        <w:t>Prov.le</w:t>
      </w:r>
      <w:proofErr w:type="spellEnd"/>
      <w:r>
        <w:rPr>
          <w:i/>
          <w:color w:val="984806"/>
          <w:sz w:val="16"/>
          <w:szCs w:val="16"/>
        </w:rPr>
        <w:t xml:space="preserve"> BAT</w:t>
      </w:r>
    </w:p>
    <w:p w:rsidR="007B4E4E" w:rsidRDefault="007B4E4E" w:rsidP="007B4E4E">
      <w:pPr>
        <w:spacing w:after="0" w:line="240" w:lineRule="auto"/>
        <w:rPr>
          <w:i/>
          <w:color w:val="984806"/>
        </w:rPr>
      </w:pPr>
      <w:proofErr w:type="spellStart"/>
      <w:r>
        <w:rPr>
          <w:i/>
          <w:color w:val="984806"/>
          <w:sz w:val="16"/>
          <w:szCs w:val="16"/>
        </w:rPr>
        <w:t>N°</w:t>
      </w:r>
      <w:proofErr w:type="spellEnd"/>
      <w:r>
        <w:rPr>
          <w:i/>
          <w:color w:val="984806"/>
          <w:sz w:val="16"/>
          <w:szCs w:val="16"/>
        </w:rPr>
        <w:t xml:space="preserve"> 44117 Albo Revisori Legali Ministero della Giustizia</w:t>
      </w: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822347" w:rsidRDefault="00822347" w:rsidP="00442680">
      <w:pPr>
        <w:spacing w:after="136" w:line="240" w:lineRule="auto"/>
        <w:outlineLvl w:val="2"/>
        <w:rPr>
          <w:rFonts w:ascii="Times New Roman" w:eastAsia="Times New Roman" w:hAnsi="Times New Roman" w:cs="Times New Roman"/>
          <w:b/>
          <w:bCs/>
          <w:color w:val="1A1A1A"/>
          <w:sz w:val="29"/>
          <w:szCs w:val="29"/>
          <w:lang w:eastAsia="it-IT"/>
        </w:rPr>
      </w:pPr>
    </w:p>
    <w:p w:rsidR="00816B02" w:rsidRPr="00501DBF" w:rsidRDefault="001D037C" w:rsidP="00816B02">
      <w:pPr>
        <w:pStyle w:val="Default"/>
        <w:jc w:val="both"/>
        <w:rPr>
          <w:rFonts w:ascii="Arial Narrow" w:hAnsi="Arial Narrow"/>
          <w:b/>
          <w:bCs/>
          <w:color w:val="auto"/>
          <w:sz w:val="32"/>
          <w:szCs w:val="32"/>
        </w:rPr>
      </w:pPr>
      <w:hyperlink r:id="rId6" w:history="1">
        <w:r w:rsidR="00501DBF" w:rsidRPr="00501DBF">
          <w:rPr>
            <w:rStyle w:val="hscoswrapper"/>
            <w:rFonts w:ascii="Arial Narrow" w:hAnsi="Arial Narrow"/>
            <w:b/>
            <w:color w:val="auto"/>
            <w:sz w:val="32"/>
            <w:szCs w:val="32"/>
            <w:u w:val="single"/>
          </w:rPr>
          <w:t xml:space="preserve">Nuova detrazione per l’acquisto </w:t>
        </w:r>
        <w:proofErr w:type="gramStart"/>
        <w:r w:rsidR="00501DBF" w:rsidRPr="00501DBF">
          <w:rPr>
            <w:rStyle w:val="hscoswrapper"/>
            <w:rFonts w:ascii="Arial Narrow" w:hAnsi="Arial Narrow"/>
            <w:b/>
            <w:color w:val="auto"/>
            <w:sz w:val="32"/>
            <w:szCs w:val="32"/>
            <w:u w:val="single"/>
          </w:rPr>
          <w:t xml:space="preserve">di </w:t>
        </w:r>
        <w:proofErr w:type="gramEnd"/>
        <w:r w:rsidR="00501DBF" w:rsidRPr="00501DBF">
          <w:rPr>
            <w:rStyle w:val="hscoswrapper"/>
            <w:rFonts w:ascii="Arial Narrow" w:hAnsi="Arial Narrow"/>
            <w:b/>
            <w:color w:val="auto"/>
            <w:sz w:val="32"/>
            <w:szCs w:val="32"/>
            <w:u w:val="single"/>
          </w:rPr>
          <w:t>immobili in classe energetica A o B</w:t>
        </w:r>
      </w:hyperlink>
    </w:p>
    <w:p w:rsidR="00241507" w:rsidRDefault="00241507" w:rsidP="00241507">
      <w:pPr>
        <w:pStyle w:val="Default"/>
        <w:jc w:val="both"/>
        <w:rPr>
          <w:rFonts w:ascii="Arial Narrow" w:hAnsi="Arial Narrow"/>
          <w:b/>
          <w:bCs/>
          <w:sz w:val="28"/>
          <w:szCs w:val="28"/>
        </w:rPr>
      </w:pPr>
    </w:p>
    <w:p w:rsidR="00501DBF" w:rsidRPr="00241507" w:rsidRDefault="00501DBF" w:rsidP="00241507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501DBF">
        <w:rPr>
          <w:rFonts w:ascii="PT Sans" w:hAnsi="PT Sans"/>
        </w:rPr>
        <w:t xml:space="preserve">L’articolo </w:t>
      </w:r>
      <w:proofErr w:type="gramStart"/>
      <w:r w:rsidRPr="00501DBF">
        <w:rPr>
          <w:rFonts w:ascii="PT Sans" w:hAnsi="PT Sans"/>
        </w:rPr>
        <w:t>1</w:t>
      </w:r>
      <w:proofErr w:type="gramEnd"/>
      <w:r w:rsidRPr="00501DBF">
        <w:rPr>
          <w:rFonts w:ascii="PT Sans" w:hAnsi="PT Sans"/>
        </w:rPr>
        <w:t>, co</w:t>
      </w:r>
      <w:proofErr w:type="spellStart"/>
      <w:r w:rsidRPr="00501DBF">
        <w:rPr>
          <w:rFonts w:ascii="PT Sans" w:hAnsi="PT Sans"/>
        </w:rPr>
        <w:t>.5</w:t>
      </w:r>
      <w:proofErr w:type="spellEnd"/>
      <w:r w:rsidRPr="00501DBF">
        <w:rPr>
          <w:rFonts w:ascii="PT Sans" w:hAnsi="PT Sans"/>
        </w:rPr>
        <w:t xml:space="preserve">6, della L. n.208/2015 (Legge di Stabilità 2016) ha introdotto una </w:t>
      </w:r>
      <w:r w:rsidRPr="00501DBF">
        <w:rPr>
          <w:rStyle w:val="Enfasigrassetto"/>
          <w:rFonts w:ascii="PT Sans" w:hAnsi="PT Sans"/>
        </w:rPr>
        <w:t>nuova detrazione</w:t>
      </w:r>
      <w:r w:rsidRPr="00501DBF">
        <w:rPr>
          <w:rFonts w:ascii="PT Sans" w:hAnsi="PT Sans"/>
        </w:rPr>
        <w:t xml:space="preserve"> d’imposta a beneficio degli acquirenti persone fisiche di </w:t>
      </w:r>
      <w:r w:rsidRPr="00501DBF">
        <w:rPr>
          <w:rStyle w:val="Enfasigrassetto"/>
          <w:rFonts w:ascii="PT Sans" w:hAnsi="PT Sans"/>
        </w:rPr>
        <w:t>immobili abitativi di nuova costruzione</w:t>
      </w:r>
      <w:r w:rsidRPr="00501DBF">
        <w:rPr>
          <w:rFonts w:ascii="PT Sans" w:hAnsi="PT Sans"/>
        </w:rPr>
        <w:t xml:space="preserve"> realizzati in </w:t>
      </w:r>
      <w:r w:rsidRPr="00501DBF">
        <w:rPr>
          <w:rStyle w:val="Enfasigrassetto"/>
          <w:rFonts w:ascii="PT Sans" w:hAnsi="PT Sans"/>
        </w:rPr>
        <w:t>classe energetica A o B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In particolare, la nuova agevolazione fiscale consiste nella possibilità di usufruire di uno </w:t>
      </w:r>
      <w:r w:rsidRPr="00501DBF">
        <w:rPr>
          <w:rStyle w:val="Enfasigrassetto"/>
          <w:rFonts w:ascii="PT Sans" w:hAnsi="PT Sans"/>
        </w:rPr>
        <w:t xml:space="preserve">sconto </w:t>
      </w:r>
      <w:proofErr w:type="gramStart"/>
      <w:r w:rsidRPr="00501DBF">
        <w:rPr>
          <w:rStyle w:val="Enfasigrassetto"/>
          <w:rFonts w:ascii="PT Sans" w:hAnsi="PT Sans"/>
        </w:rPr>
        <w:t>dell’</w:t>
      </w:r>
      <w:proofErr w:type="gramEnd"/>
      <w:r w:rsidRPr="00501DBF">
        <w:rPr>
          <w:rStyle w:val="Enfasigrassetto"/>
          <w:rFonts w:ascii="PT Sans" w:hAnsi="PT Sans"/>
        </w:rPr>
        <w:t>IRPEF pari al 50% dell’IVA</w:t>
      </w:r>
      <w:r w:rsidRPr="00501DBF">
        <w:rPr>
          <w:rFonts w:ascii="PT Sans" w:hAnsi="PT Sans"/>
        </w:rPr>
        <w:t xml:space="preserve"> corrisposta dall’acquirente sul prezzo di vendita delle predette tipologie di unità immobiliari, cedute dalle imprese che le hanno costruite.</w:t>
      </w:r>
    </w:p>
    <w:p w:rsidR="00501DBF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</w:rPr>
        <w:t>Per</w:t>
      </w:r>
      <w:proofErr w:type="gramStart"/>
      <w:r>
        <w:rPr>
          <w:rFonts w:ascii="PT Sans" w:hAnsi="PT Sans"/>
        </w:rPr>
        <w:t xml:space="preserve"> </w:t>
      </w:r>
      <w:r w:rsidR="00501DBF" w:rsidRPr="00501DBF">
        <w:rPr>
          <w:rFonts w:ascii="PT Sans" w:hAnsi="PT Sans"/>
        </w:rPr>
        <w:t xml:space="preserve"> </w:t>
      </w:r>
      <w:proofErr w:type="gramEnd"/>
      <w:r w:rsidR="00501DBF" w:rsidRPr="00501DBF">
        <w:rPr>
          <w:rFonts w:ascii="PT Sans" w:hAnsi="PT Sans"/>
        </w:rPr>
        <w:t xml:space="preserve">essere ammessi al beneficio fiscale, l’acquisto dovrà essere perfezionato nel periodo compreso </w:t>
      </w:r>
      <w:r w:rsidR="00501DBF" w:rsidRPr="00501DBF">
        <w:rPr>
          <w:rStyle w:val="Enfasigrassetto"/>
          <w:rFonts w:ascii="PT Sans" w:hAnsi="PT Sans"/>
        </w:rPr>
        <w:t>tra il 1° gennaio 2016 ed il 31 dicembre 2016</w:t>
      </w:r>
      <w:r w:rsidR="00501DBF"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Come già previsto nell’ambito della detrazione IRPEF per le ristrutturazioni edilizie, lo </w:t>
      </w:r>
      <w:proofErr w:type="gramStart"/>
      <w:r w:rsidRPr="00501DBF">
        <w:rPr>
          <w:rFonts w:ascii="PT Sans" w:hAnsi="PT Sans"/>
        </w:rPr>
        <w:t>sconto</w:t>
      </w:r>
      <w:proofErr w:type="gramEnd"/>
      <w:r w:rsidRPr="00501DBF">
        <w:rPr>
          <w:rFonts w:ascii="PT Sans" w:hAnsi="PT Sans"/>
        </w:rPr>
        <w:t xml:space="preserve"> </w:t>
      </w:r>
      <w:proofErr w:type="gramStart"/>
      <w:r w:rsidRPr="00501DBF">
        <w:rPr>
          <w:rFonts w:ascii="PT Sans" w:hAnsi="PT Sans"/>
        </w:rPr>
        <w:t>fiscale</w:t>
      </w:r>
      <w:proofErr w:type="gramEnd"/>
      <w:r w:rsidRPr="00501DBF">
        <w:rPr>
          <w:rFonts w:ascii="PT Sans" w:hAnsi="PT Sans"/>
        </w:rPr>
        <w:t xml:space="preserve"> in questione non può essere fruito </w:t>
      </w:r>
      <w:r w:rsidRPr="00501DBF">
        <w:rPr>
          <w:rStyle w:val="Enfasigrassetto"/>
          <w:rFonts w:ascii="PT Sans" w:hAnsi="PT Sans"/>
        </w:rPr>
        <w:t>interamente</w:t>
      </w:r>
      <w:r w:rsidRPr="00501DBF">
        <w:rPr>
          <w:rFonts w:ascii="PT Sans" w:hAnsi="PT Sans"/>
        </w:rPr>
        <w:t xml:space="preserve"> nell’anno d’imposta in cui si procede all’acquisto ma deve essere obbligatoriamente ripartito su un </w:t>
      </w:r>
      <w:r w:rsidRPr="00501DBF">
        <w:rPr>
          <w:rStyle w:val="Enfasigrassetto"/>
          <w:rFonts w:ascii="PT Sans" w:hAnsi="PT Sans"/>
        </w:rPr>
        <w:t>periodo di dieci anni</w:t>
      </w:r>
      <w:r w:rsidRPr="00501DBF">
        <w:rPr>
          <w:rFonts w:ascii="PT Sans" w:hAnsi="PT Sans"/>
        </w:rPr>
        <w:t xml:space="preserve"> (anno di acquisto dell’immobile ed i nove successivi); inoltre e sempre similarmente al richiamato bonus edilizio del 36%/50%, la detrazione potrà essere operata fino a concorrenza dell’IRPEF lorda, con la conseguenza che la stessa non potrà </w:t>
      </w:r>
      <w:r w:rsidRPr="00501DBF">
        <w:rPr>
          <w:rStyle w:val="Enfasigrassetto"/>
          <w:rFonts w:ascii="PT Sans" w:hAnsi="PT Sans"/>
        </w:rPr>
        <w:t>mai determinare un credito d’imposta</w:t>
      </w:r>
      <w:r w:rsidRPr="00501DBF">
        <w:rPr>
          <w:rFonts w:ascii="PT Sans" w:hAnsi="PT Sans"/>
        </w:rPr>
        <w:t xml:space="preserve"> ma, al più, potrà ridurre – fino all’</w:t>
      </w:r>
      <w:r w:rsidRPr="00501DBF">
        <w:rPr>
          <w:rStyle w:val="Enfasigrassetto"/>
          <w:rFonts w:ascii="PT Sans" w:hAnsi="PT Sans"/>
        </w:rPr>
        <w:t>azzeramento</w:t>
      </w:r>
      <w:r w:rsidRPr="00501DBF">
        <w:rPr>
          <w:rFonts w:ascii="PT Sans" w:hAnsi="PT Sans"/>
        </w:rPr>
        <w:t xml:space="preserve"> – l’imposta dovuta.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Questi, in sintesi, sono gli elementi cardine della nuova agevolazione fiscale introdotta dalla Legge di Stabilità 2016, la cui </w:t>
      </w:r>
      <w:proofErr w:type="spellStart"/>
      <w:r w:rsidRPr="00501DBF">
        <w:rPr>
          <w:rStyle w:val="Enfasicorsivo"/>
          <w:rFonts w:ascii="PT Sans" w:hAnsi="PT Sans"/>
        </w:rPr>
        <w:t>ratio</w:t>
      </w:r>
      <w:proofErr w:type="spellEnd"/>
      <w:r w:rsidRPr="00501DBF">
        <w:rPr>
          <w:rStyle w:val="Enfasicorsivo"/>
          <w:rFonts w:ascii="PT Sans" w:hAnsi="PT Sans"/>
        </w:rPr>
        <w:t xml:space="preserve"> </w:t>
      </w:r>
      <w:r w:rsidRPr="00501DBF">
        <w:rPr>
          <w:rFonts w:ascii="PT Sans" w:hAnsi="PT Sans"/>
        </w:rPr>
        <w:t xml:space="preserve">è </w:t>
      </w:r>
      <w:proofErr w:type="gramStart"/>
      <w:r w:rsidRPr="00501DBF">
        <w:rPr>
          <w:rFonts w:ascii="PT Sans" w:hAnsi="PT Sans"/>
        </w:rPr>
        <w:t>quella di</w:t>
      </w:r>
      <w:proofErr w:type="gramEnd"/>
      <w:r w:rsidRPr="00501DBF">
        <w:rPr>
          <w:rFonts w:ascii="PT Sans" w:hAnsi="PT Sans"/>
        </w:rPr>
        <w:t xml:space="preserve"> agevolare le imprese costruttrici di immobili aventi determinati requisiti in termini di classe energetica, incentivando l’acquisto immobiliare mediante un </w:t>
      </w:r>
      <w:r w:rsidRPr="00501DBF">
        <w:rPr>
          <w:rStyle w:val="Enfasigrassetto"/>
          <w:rFonts w:ascii="PT Sans" w:hAnsi="PT Sans"/>
        </w:rPr>
        <w:t>dimezzamento dell’IVA dovuta sulla compravendita</w:t>
      </w:r>
      <w:r w:rsidRPr="00501DBF">
        <w:rPr>
          <w:rFonts w:ascii="PT Sans" w:hAnsi="PT Sans"/>
        </w:rPr>
        <w:t xml:space="preserve"> (4% per la “prima casa”, 10% in caso di insussistenza dei requisiti “prima casa” ed immobile non di “lusso” e 22% per gli acquisti degli immobili appartenenti alle categorie catastali A/1, A/8 e A/9).</w:t>
      </w:r>
    </w:p>
    <w:p w:rsidR="00241507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Da un punto di vista soggettivo, l’acquirente dell’immobile dovrà essere un </w:t>
      </w:r>
      <w:r w:rsidRPr="00501DBF">
        <w:rPr>
          <w:rStyle w:val="Enfasigrassetto"/>
          <w:rFonts w:ascii="PT Sans" w:hAnsi="PT Sans"/>
        </w:rPr>
        <w:t>soggetto passivo IRPEF</w:t>
      </w:r>
      <w:r w:rsidRPr="00501DBF">
        <w:rPr>
          <w:rFonts w:ascii="PT Sans" w:hAnsi="PT Sans"/>
        </w:rPr>
        <w:t xml:space="preserve">; pertanto, sono ammesse non solo le </w:t>
      </w:r>
      <w:r w:rsidRPr="00501DBF">
        <w:rPr>
          <w:rStyle w:val="Enfasigrassetto"/>
          <w:rFonts w:ascii="PT Sans" w:hAnsi="PT Sans"/>
        </w:rPr>
        <w:t>persone fisiche</w:t>
      </w:r>
      <w:r w:rsidRPr="00501DBF">
        <w:rPr>
          <w:rFonts w:ascii="PT Sans" w:hAnsi="PT Sans"/>
        </w:rPr>
        <w:t xml:space="preserve"> ma anche gli imprenditori individuali (per gli immobili non rientranti fra i beni strumentali o merce) </w:t>
      </w:r>
      <w:proofErr w:type="gramStart"/>
      <w:r w:rsidRPr="00501DBF">
        <w:rPr>
          <w:rFonts w:ascii="PT Sans" w:hAnsi="PT Sans"/>
        </w:rPr>
        <w:t>ed</w:t>
      </w:r>
      <w:proofErr w:type="gramEnd"/>
      <w:r w:rsidRPr="00501DBF">
        <w:rPr>
          <w:rFonts w:ascii="PT Sans" w:hAnsi="PT Sans"/>
        </w:rPr>
        <w:t xml:space="preserve"> i soggetti indicati nell’articolo 5</w:t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-899795</wp:posOffset>
            </wp:positionV>
            <wp:extent cx="7925435" cy="10791190"/>
            <wp:effectExtent l="19050" t="0" r="0" b="0"/>
            <wp:wrapNone/>
            <wp:docPr id="1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 </w:t>
      </w:r>
      <w:proofErr w:type="gramStart"/>
      <w:r w:rsidRPr="00501DBF">
        <w:rPr>
          <w:rFonts w:ascii="PT Sans" w:hAnsi="PT Sans"/>
        </w:rPr>
        <w:t>del</w:t>
      </w:r>
      <w:proofErr w:type="gramEnd"/>
      <w:r w:rsidRPr="00501DBF">
        <w:rPr>
          <w:rFonts w:ascii="PT Sans" w:hAnsi="PT Sans"/>
        </w:rPr>
        <w:t xml:space="preserve"> </w:t>
      </w:r>
      <w:proofErr w:type="spellStart"/>
      <w:r w:rsidRPr="00501DBF">
        <w:rPr>
          <w:rFonts w:ascii="PT Sans" w:hAnsi="PT Sans"/>
        </w:rPr>
        <w:t>Tuir</w:t>
      </w:r>
      <w:proofErr w:type="spellEnd"/>
      <w:r w:rsidRPr="00501DBF">
        <w:rPr>
          <w:rFonts w:ascii="PT Sans" w:hAnsi="PT Sans"/>
        </w:rPr>
        <w:t xml:space="preserve">, che producono redditi in forma associata (società semplici, s.n.c., </w:t>
      </w:r>
      <w:proofErr w:type="spellStart"/>
      <w:r w:rsidRPr="00501DBF">
        <w:rPr>
          <w:rFonts w:ascii="PT Sans" w:hAnsi="PT Sans"/>
        </w:rPr>
        <w:t>s.a.s.</w:t>
      </w:r>
      <w:proofErr w:type="spellEnd"/>
      <w:r w:rsidRPr="00501DBF">
        <w:rPr>
          <w:rFonts w:ascii="PT Sans" w:hAnsi="PT Sans"/>
        </w:rPr>
        <w:t xml:space="preserve"> e soggetti a questi equiparati, imprese familiari), alle stesse condizioni previste per gli imprenditori individuali.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Relativamente, invece, al profilo del venditore giova evidenziare che la norma parla di </w:t>
      </w:r>
      <w:r w:rsidRPr="00501DBF">
        <w:rPr>
          <w:rStyle w:val="Enfasigrassetto"/>
          <w:rFonts w:ascii="PT Sans" w:hAnsi="PT Sans"/>
        </w:rPr>
        <w:t>cessioni effettuate da parte di “imprese costruttrici”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Sul punto va osservato che l’Agenzia delle Entrate ha chiarito, nel corso dell’incontro annuale </w:t>
      </w:r>
      <w:proofErr w:type="spellStart"/>
      <w:r w:rsidRPr="00501DBF">
        <w:rPr>
          <w:rFonts w:ascii="PT Sans" w:hAnsi="PT Sans"/>
        </w:rPr>
        <w:t>Telefisco</w:t>
      </w:r>
      <w:proofErr w:type="spellEnd"/>
      <w:r w:rsidRPr="00501DBF">
        <w:rPr>
          <w:rFonts w:ascii="PT Sans" w:hAnsi="PT Sans"/>
        </w:rPr>
        <w:t xml:space="preserve"> 2016, che – alla luce del tenore letterale della norma – il presupposto dell’agevolazione sia l’acquisto </w:t>
      </w:r>
      <w:proofErr w:type="gramStart"/>
      <w:r w:rsidRPr="00501DBF">
        <w:rPr>
          <w:rFonts w:ascii="PT Sans" w:hAnsi="PT Sans"/>
        </w:rPr>
        <w:t xml:space="preserve">di </w:t>
      </w:r>
      <w:proofErr w:type="gramEnd"/>
      <w:r w:rsidRPr="00501DBF">
        <w:rPr>
          <w:rFonts w:ascii="PT Sans" w:hAnsi="PT Sans"/>
        </w:rPr>
        <w:t xml:space="preserve">immobili nuovi venduti </w:t>
      </w:r>
      <w:r w:rsidRPr="00501DBF">
        <w:rPr>
          <w:rStyle w:val="Enfasigrassetto"/>
          <w:rFonts w:ascii="PT Sans" w:hAnsi="PT Sans"/>
        </w:rPr>
        <w:t xml:space="preserve">direttamente dalle imprese che li hanno costruiti </w:t>
      </w:r>
      <w:r w:rsidRPr="00501DBF">
        <w:rPr>
          <w:rStyle w:val="Enfasicorsivo"/>
          <w:rFonts w:ascii="PT Sans" w:hAnsi="PT Sans"/>
          <w:b/>
          <w:bCs/>
        </w:rPr>
        <w:t>ex novo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Di conseguenza, sono </w:t>
      </w:r>
      <w:r w:rsidRPr="00501DBF">
        <w:rPr>
          <w:rStyle w:val="Enfasigrassetto"/>
          <w:rFonts w:ascii="PT Sans" w:hAnsi="PT Sans"/>
        </w:rPr>
        <w:t>escluse dal beneficio fiscale</w:t>
      </w:r>
      <w:r w:rsidRPr="00501DBF">
        <w:rPr>
          <w:rFonts w:ascii="PT Sans" w:hAnsi="PT Sans"/>
        </w:rPr>
        <w:t xml:space="preserve"> le vendite effettuate da imprese che hanno eseguito sull’immobile esclusivamente </w:t>
      </w:r>
      <w:r w:rsidRPr="00501DBF">
        <w:rPr>
          <w:rStyle w:val="Enfasigrassetto"/>
          <w:rFonts w:ascii="PT Sans" w:hAnsi="PT Sans"/>
        </w:rPr>
        <w:t>lavori di recupero edilizio</w:t>
      </w:r>
      <w:r w:rsidRPr="00501DBF">
        <w:rPr>
          <w:rFonts w:ascii="PT Sans" w:hAnsi="PT Sans"/>
        </w:rPr>
        <w:t xml:space="preserve"> (ristrutturazione </w:t>
      </w:r>
      <w:proofErr w:type="gramStart"/>
      <w:r w:rsidRPr="00501DBF">
        <w:rPr>
          <w:rFonts w:ascii="PT Sans" w:hAnsi="PT Sans"/>
        </w:rPr>
        <w:t>edilizia</w:t>
      </w:r>
      <w:proofErr w:type="gramEnd"/>
      <w:r w:rsidRPr="00501DBF">
        <w:rPr>
          <w:rFonts w:ascii="PT Sans" w:hAnsi="PT Sans"/>
        </w:rPr>
        <w:t xml:space="preserve">, manutenzione straordinaria o restauro e risanamento conservativo). Sul punto si ricorda, peraltro, che gli interventi di </w:t>
      </w:r>
      <w:r w:rsidRPr="00501DBF">
        <w:rPr>
          <w:rStyle w:val="Enfasigrassetto"/>
          <w:rFonts w:ascii="PT Sans" w:hAnsi="PT Sans"/>
        </w:rPr>
        <w:t>demolizione e fedele ricostruzione</w:t>
      </w:r>
      <w:r w:rsidRPr="00501DBF">
        <w:rPr>
          <w:rFonts w:ascii="PT Sans" w:hAnsi="PT Sans"/>
        </w:rPr>
        <w:t xml:space="preserve"> configurano un intervento di ristrutturazione edilizia, con la conseguenza che, anche in tale ipotesi, nessuna detrazione del 50% dell’IVA sulla compravendita sarà applicabile.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Resta fermo che, in tali ipotesi, sarà possibile beneficiare della detrazione IRPEF per ristrutturazione edilizia, spettante all’acquirente o all’assegnatario di unità immobiliari </w:t>
      </w:r>
      <w:proofErr w:type="gramStart"/>
      <w:r w:rsidRPr="00501DBF">
        <w:rPr>
          <w:rFonts w:ascii="PT Sans" w:hAnsi="PT Sans"/>
        </w:rPr>
        <w:t>site</w:t>
      </w:r>
      <w:proofErr w:type="gramEnd"/>
      <w:r w:rsidRPr="00501DBF">
        <w:rPr>
          <w:rFonts w:ascii="PT Sans" w:hAnsi="PT Sans"/>
        </w:rPr>
        <w:t xml:space="preserve"> in fabbricati interamente recuperati da imprese di costruzione o ristrutturazione immobiliare e da cooperative edilizie, tramite interventi di restauro e risanamento conservativo o ristrutturazione edilizia.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Sotto il profilo oggettivo della detrazione, rientrano nel novero degli acquisti agevolati </w:t>
      </w:r>
      <w:r w:rsidRPr="00501DBF">
        <w:rPr>
          <w:rStyle w:val="Enfasigrassetto"/>
          <w:rFonts w:ascii="PT Sans" w:hAnsi="PT Sans"/>
        </w:rPr>
        <w:t xml:space="preserve">le “unità immobiliari a destinazione residenziale” </w:t>
      </w:r>
      <w:proofErr w:type="gramStart"/>
      <w:r w:rsidRPr="00501DBF">
        <w:rPr>
          <w:rStyle w:val="Enfasigrassetto"/>
          <w:rFonts w:ascii="PT Sans" w:hAnsi="PT Sans"/>
        </w:rPr>
        <w:t>aventi classe energetica A o B</w:t>
      </w:r>
      <w:proofErr w:type="gramEnd"/>
      <w:r w:rsidRPr="00501DBF">
        <w:rPr>
          <w:rFonts w:ascii="PT Sans" w:hAnsi="PT Sans"/>
        </w:rPr>
        <w:t xml:space="preserve">; considerato che la disposizione di legge non specifica altro, è sostenibile che siano agevolabili non solo gli acquisti della “prima casa”, ma </w:t>
      </w:r>
      <w:r w:rsidRPr="00501DBF">
        <w:rPr>
          <w:rStyle w:val="Enfasigrassetto"/>
          <w:rFonts w:ascii="PT Sans" w:hAnsi="PT Sans"/>
        </w:rPr>
        <w:t>anche gli acquisti destinati a “seconda casa”</w:t>
      </w:r>
      <w:r w:rsidRPr="00501DBF">
        <w:rPr>
          <w:rFonts w:ascii="PT Sans" w:hAnsi="PT Sans"/>
        </w:rPr>
        <w:t xml:space="preserve"> o quelli effettuati per la successiva locazione dell’immobile.</w:t>
      </w:r>
    </w:p>
    <w:p w:rsidR="00501DBF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1771015</wp:posOffset>
            </wp:positionV>
            <wp:extent cx="8030845" cy="10934700"/>
            <wp:effectExtent l="19050" t="0" r="8255" b="0"/>
            <wp:wrapNone/>
            <wp:docPr id="2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45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DBF" w:rsidRPr="00501DBF">
        <w:rPr>
          <w:rFonts w:ascii="PT Sans" w:hAnsi="PT Sans"/>
        </w:rPr>
        <w:t xml:space="preserve">Dubbi permangono, invece, </w:t>
      </w:r>
      <w:proofErr w:type="gramStart"/>
      <w:r w:rsidR="00501DBF" w:rsidRPr="00501DBF">
        <w:rPr>
          <w:rFonts w:ascii="PT Sans" w:hAnsi="PT Sans"/>
        </w:rPr>
        <w:t>relativamente alle</w:t>
      </w:r>
      <w:proofErr w:type="gramEnd"/>
      <w:r w:rsidR="00501DBF" w:rsidRPr="00501DBF">
        <w:rPr>
          <w:rFonts w:ascii="PT Sans" w:hAnsi="PT Sans"/>
        </w:rPr>
        <w:t xml:space="preserve"> pertinenze di tali immobili, in relazione alle quali non è stato ancora fornito alcun chiarimento ufficiale.</w:t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-908050</wp:posOffset>
            </wp:positionV>
            <wp:extent cx="7925435" cy="10791190"/>
            <wp:effectExtent l="19050" t="0" r="0" b="0"/>
            <wp:wrapNone/>
            <wp:docPr id="4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501DBF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</w:rPr>
        <w:t>L</w:t>
      </w:r>
      <w:r w:rsidR="00501DBF" w:rsidRPr="00501DBF">
        <w:rPr>
          <w:rFonts w:ascii="PT Sans" w:hAnsi="PT Sans"/>
        </w:rPr>
        <w:t xml:space="preserve">a norma richiede che l’acquisto immobiliare sia </w:t>
      </w:r>
      <w:r w:rsidR="00501DBF" w:rsidRPr="00501DBF">
        <w:rPr>
          <w:rStyle w:val="Enfasigrassetto"/>
          <w:rFonts w:ascii="PT Sans" w:hAnsi="PT Sans"/>
        </w:rPr>
        <w:t>perfezionato nel periodo</w:t>
      </w:r>
      <w:r w:rsidR="00501DBF" w:rsidRPr="00501DBF">
        <w:rPr>
          <w:rFonts w:ascii="PT Sans" w:hAnsi="PT Sans"/>
        </w:rPr>
        <w:t xml:space="preserve"> intercorrente </w:t>
      </w:r>
      <w:r w:rsidR="00501DBF" w:rsidRPr="00501DBF">
        <w:rPr>
          <w:rStyle w:val="Enfasigrassetto"/>
          <w:rFonts w:ascii="PT Sans" w:hAnsi="PT Sans"/>
        </w:rPr>
        <w:t xml:space="preserve">tra il 1° gennaio 2016 </w:t>
      </w:r>
      <w:proofErr w:type="gramStart"/>
      <w:r w:rsidR="00501DBF" w:rsidRPr="00501DBF">
        <w:rPr>
          <w:rStyle w:val="Enfasigrassetto"/>
          <w:rFonts w:ascii="PT Sans" w:hAnsi="PT Sans"/>
        </w:rPr>
        <w:t>ed</w:t>
      </w:r>
      <w:proofErr w:type="gramEnd"/>
      <w:r w:rsidR="00501DBF" w:rsidRPr="00501DBF">
        <w:rPr>
          <w:rStyle w:val="Enfasigrassetto"/>
          <w:rFonts w:ascii="PT Sans" w:hAnsi="PT Sans"/>
        </w:rPr>
        <w:t xml:space="preserve"> il 31 dicembre 2016</w:t>
      </w:r>
      <w:r w:rsidR="00501DBF"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Rileva dunque la </w:t>
      </w:r>
      <w:r w:rsidRPr="00501DBF">
        <w:rPr>
          <w:rStyle w:val="Enfasigrassetto"/>
          <w:rFonts w:ascii="PT Sans" w:hAnsi="PT Sans"/>
        </w:rPr>
        <w:t>data di trasferimento di proprietà</w:t>
      </w:r>
      <w:r w:rsidRPr="00501DBF">
        <w:rPr>
          <w:rFonts w:ascii="PT Sans" w:hAnsi="PT Sans"/>
        </w:rPr>
        <w:t xml:space="preserve"> e </w:t>
      </w:r>
      <w:r w:rsidRPr="00501DBF">
        <w:rPr>
          <w:rStyle w:val="Enfasigrassetto"/>
          <w:rFonts w:ascii="PT Sans" w:hAnsi="PT Sans"/>
        </w:rPr>
        <w:t xml:space="preserve">non la semplice </w:t>
      </w:r>
      <w:proofErr w:type="gramStart"/>
      <w:r w:rsidRPr="00501DBF">
        <w:rPr>
          <w:rStyle w:val="Enfasigrassetto"/>
          <w:rFonts w:ascii="PT Sans" w:hAnsi="PT Sans"/>
        </w:rPr>
        <w:t>stipula</w:t>
      </w:r>
      <w:proofErr w:type="gramEnd"/>
      <w:r w:rsidRPr="00501DBF">
        <w:rPr>
          <w:rStyle w:val="Enfasigrassetto"/>
          <w:rFonts w:ascii="PT Sans" w:hAnsi="PT Sans"/>
        </w:rPr>
        <w:t xml:space="preserve"> di un contratto preliminare</w:t>
      </w:r>
      <w:r w:rsidRPr="00501DBF">
        <w:rPr>
          <w:rFonts w:ascii="PT Sans" w:hAnsi="PT Sans"/>
        </w:rPr>
        <w:t xml:space="preserve"> di compravendita, pur se integrato dal versamento da parte del promissario acquirente di acconti prezzo e/o caparre </w:t>
      </w:r>
      <w:proofErr w:type="spellStart"/>
      <w:r w:rsidRPr="00501DBF">
        <w:rPr>
          <w:rFonts w:ascii="PT Sans" w:hAnsi="PT Sans"/>
        </w:rPr>
        <w:t>confirmatorie</w:t>
      </w:r>
      <w:proofErr w:type="spellEnd"/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Pertanto, nell’ipotesi in cui l’acquirente abbia versato degli acconti prezzo soggetti </w:t>
      </w:r>
      <w:proofErr w:type="gramStart"/>
      <w:r w:rsidRPr="00501DBF">
        <w:rPr>
          <w:rFonts w:ascii="PT Sans" w:hAnsi="PT Sans"/>
        </w:rPr>
        <w:t>ad</w:t>
      </w:r>
      <w:proofErr w:type="gramEnd"/>
      <w:r w:rsidRPr="00501DBF">
        <w:rPr>
          <w:rFonts w:ascii="PT Sans" w:hAnsi="PT Sans"/>
        </w:rPr>
        <w:t xml:space="preserve"> IVA nel corso del 2015 e l’atto notarile di compravendita sia stato perfezionato nel corso del 2016 con la corresponsione del saldo prezzo, il soggetto interessato potrà fruire della detrazione </w:t>
      </w:r>
      <w:r w:rsidRPr="00501DBF">
        <w:rPr>
          <w:rStyle w:val="Enfasigrassetto"/>
          <w:rFonts w:ascii="PT Sans" w:hAnsi="PT Sans"/>
        </w:rPr>
        <w:t>solo limitatamente alla quota di IVA pagata nel corso del 2016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Giova sul punto evidenziare che, laddove nel corso del 2015 sia stata corrisposta dall’acquirente unicamente una </w:t>
      </w:r>
      <w:r w:rsidRPr="00501DBF">
        <w:rPr>
          <w:rStyle w:val="Enfasigrassetto"/>
          <w:rFonts w:ascii="PT Sans" w:hAnsi="PT Sans"/>
        </w:rPr>
        <w:t xml:space="preserve">caparra </w:t>
      </w:r>
      <w:proofErr w:type="spellStart"/>
      <w:r w:rsidRPr="00501DBF">
        <w:rPr>
          <w:rStyle w:val="Enfasigrassetto"/>
          <w:rFonts w:ascii="PT Sans" w:hAnsi="PT Sans"/>
        </w:rPr>
        <w:t>confirmatoria</w:t>
      </w:r>
      <w:proofErr w:type="spellEnd"/>
      <w:r w:rsidRPr="00501DBF">
        <w:rPr>
          <w:rFonts w:ascii="PT Sans" w:hAnsi="PT Sans"/>
        </w:rPr>
        <w:t xml:space="preserve"> (somma esclusa da IVA) e la compravendita sia stata perfezionata nel corso del 2016, </w:t>
      </w:r>
      <w:proofErr w:type="gramStart"/>
      <w:r w:rsidRPr="00501DBF">
        <w:rPr>
          <w:rFonts w:ascii="PT Sans" w:hAnsi="PT Sans"/>
        </w:rPr>
        <w:t>risulterà</w:t>
      </w:r>
      <w:proofErr w:type="gramEnd"/>
      <w:r w:rsidRPr="00501DBF">
        <w:rPr>
          <w:rFonts w:ascii="PT Sans" w:hAnsi="PT Sans"/>
        </w:rPr>
        <w:t xml:space="preserve"> detraibile anche l’IVA che viene applicata su quest’ultima somma in fase di compravendita, a seguito dell’</w:t>
      </w:r>
      <w:r w:rsidRPr="00501DBF">
        <w:rPr>
          <w:rStyle w:val="Enfasigrassetto"/>
          <w:rFonts w:ascii="PT Sans" w:hAnsi="PT Sans"/>
        </w:rPr>
        <w:t>imputazione della caparra in “conto prezzo”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Laddove, invece, l’acconto sia stato pagato nel 2016 e la vendita sia stipulata nel 2017, l’acquirente non potrà fruire di alcuna detrazione, </w:t>
      </w:r>
      <w:proofErr w:type="gramStart"/>
      <w:r w:rsidRPr="00501DBF">
        <w:rPr>
          <w:rFonts w:ascii="PT Sans" w:hAnsi="PT Sans"/>
        </w:rPr>
        <w:t>in quanto</w:t>
      </w:r>
      <w:proofErr w:type="gramEnd"/>
      <w:r w:rsidRPr="00501DBF">
        <w:rPr>
          <w:rFonts w:ascii="PT Sans" w:hAnsi="PT Sans"/>
        </w:rPr>
        <w:t xml:space="preserve"> la norma si applica agli </w:t>
      </w:r>
      <w:r w:rsidRPr="00501DBF">
        <w:rPr>
          <w:rStyle w:val="Enfasigrassetto"/>
          <w:rFonts w:ascii="PT Sans" w:hAnsi="PT Sans"/>
        </w:rPr>
        <w:t>acquisti effettuati entro il 31 dicembre 2016</w:t>
      </w:r>
      <w:r w:rsidRPr="00501DBF">
        <w:rPr>
          <w:rFonts w:ascii="PT Sans" w:hAnsi="PT Sans"/>
        </w:rPr>
        <w:t>.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Peraltro, l’Agenzia delle Entrate ha chiarito che, qualora in attesa della vendita, </w:t>
      </w:r>
      <w:r w:rsidRPr="00501DBF">
        <w:rPr>
          <w:rStyle w:val="Enfasigrassetto"/>
          <w:rFonts w:ascii="PT Sans" w:hAnsi="PT Sans"/>
        </w:rPr>
        <w:t>l’impresa costruttrice abbia concesso in locazione l’unità immobiliare</w:t>
      </w:r>
      <w:r w:rsidRPr="00501DBF">
        <w:rPr>
          <w:rFonts w:ascii="PT Sans" w:hAnsi="PT Sans"/>
        </w:rPr>
        <w:t>, l’acquirente finale potrà comunque fruire della detrazione, sempre che l’acquisto sia stato perfezionato nel 2016.</w:t>
      </w:r>
    </w:p>
    <w:p w:rsidR="00501DBF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2980055</wp:posOffset>
            </wp:positionV>
            <wp:extent cx="8028940" cy="10932160"/>
            <wp:effectExtent l="19050" t="0" r="0" b="0"/>
            <wp:wrapNone/>
            <wp:docPr id="6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940" cy="1093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Sans" w:hAnsi="PT San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-694690</wp:posOffset>
            </wp:positionH>
            <wp:positionV relativeFrom="paragraph">
              <wp:posOffset>2977515</wp:posOffset>
            </wp:positionV>
            <wp:extent cx="8030845" cy="10934700"/>
            <wp:effectExtent l="19050" t="0" r="8255" b="0"/>
            <wp:wrapNone/>
            <wp:docPr id="5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0845" cy="1093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DBF" w:rsidRPr="00501DBF">
        <w:rPr>
          <w:rFonts w:ascii="PT Sans" w:hAnsi="PT Sans"/>
        </w:rPr>
        <w:t>Resta naturalmente inteso che la detrazione in questione è subordinata all’</w:t>
      </w:r>
      <w:r w:rsidR="00501DBF" w:rsidRPr="00501DBF">
        <w:rPr>
          <w:rStyle w:val="Enfasigrassetto"/>
          <w:rFonts w:ascii="PT Sans" w:hAnsi="PT Sans"/>
        </w:rPr>
        <w:t>applicazione dell’IVA in fattura</w:t>
      </w:r>
      <w:r w:rsidR="00501DBF" w:rsidRPr="00501DBF">
        <w:rPr>
          <w:rFonts w:ascii="PT Sans" w:hAnsi="PT Sans"/>
        </w:rPr>
        <w:t xml:space="preserve"> da parte dell’impresa costruttrice dell’immobile abitativo; pertanto, nel caso in cui la compravendita sia </w:t>
      </w:r>
      <w:proofErr w:type="gramStart"/>
      <w:r w:rsidR="00501DBF" w:rsidRPr="00501DBF">
        <w:rPr>
          <w:rFonts w:ascii="PT Sans" w:hAnsi="PT Sans"/>
        </w:rPr>
        <w:t>effettuata</w:t>
      </w:r>
      <w:proofErr w:type="gramEnd"/>
      <w:r w:rsidR="00501DBF" w:rsidRPr="00501DBF">
        <w:rPr>
          <w:rFonts w:ascii="PT Sans" w:hAnsi="PT Sans"/>
        </w:rPr>
        <w:t xml:space="preserve"> oltre il compimento di un quinquennio e l’impresa costruttrice </w:t>
      </w:r>
      <w:r w:rsidR="00501DBF" w:rsidRPr="00501DBF">
        <w:rPr>
          <w:rStyle w:val="Enfasigrassetto"/>
          <w:rFonts w:ascii="PT Sans" w:hAnsi="PT Sans"/>
        </w:rPr>
        <w:t>non abbia optato per l’applicazione</w:t>
      </w:r>
      <w:r w:rsidR="00501DBF" w:rsidRPr="00501DBF">
        <w:rPr>
          <w:rFonts w:ascii="PT Sans" w:hAnsi="PT Sans"/>
        </w:rPr>
        <w:t xml:space="preserve"> volontaria dell’IVA, non vi sarà alcuna detraibilità ai fini IRPEF dell’IVA e l’operazione sarà assoggettata all’</w:t>
      </w:r>
      <w:r w:rsidR="00501DBF" w:rsidRPr="00501DBF">
        <w:rPr>
          <w:rStyle w:val="Enfasigrassetto"/>
          <w:rFonts w:ascii="PT Sans" w:hAnsi="PT Sans"/>
        </w:rPr>
        <w:t>esenzione</w:t>
      </w:r>
      <w:r w:rsidR="00501DBF" w:rsidRPr="00501DBF">
        <w:rPr>
          <w:rFonts w:ascii="PT Sans" w:hAnsi="PT Sans"/>
        </w:rPr>
        <w:t xml:space="preserve"> ai sensi dell’articolo 10 del </w:t>
      </w:r>
      <w:proofErr w:type="spellStart"/>
      <w:r w:rsidR="00501DBF" w:rsidRPr="00501DBF">
        <w:rPr>
          <w:rFonts w:ascii="PT Sans" w:hAnsi="PT Sans"/>
        </w:rPr>
        <w:t>d.P.R.</w:t>
      </w:r>
      <w:proofErr w:type="spellEnd"/>
      <w:r w:rsidR="00501DBF" w:rsidRPr="00501DBF">
        <w:rPr>
          <w:rFonts w:ascii="PT Sans" w:hAnsi="PT Sans"/>
        </w:rPr>
        <w:t xml:space="preserve"> n.633/72, con applicazione dell’imposta di registro e delle ipo-catastali in base al </w:t>
      </w:r>
      <w:r w:rsidR="00501DBF" w:rsidRPr="00501DBF">
        <w:rPr>
          <w:rStyle w:val="Enfasigrassetto"/>
          <w:rFonts w:ascii="PT Sans" w:hAnsi="PT Sans"/>
        </w:rPr>
        <w:t>meccanismo del “prezzo-valore”</w:t>
      </w:r>
      <w:r w:rsidR="00501DBF" w:rsidRPr="00501DBF">
        <w:rPr>
          <w:rFonts w:ascii="PT Sans" w:hAnsi="PT Sans"/>
        </w:rPr>
        <w:t>.</w:t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-743585</wp:posOffset>
            </wp:positionH>
            <wp:positionV relativeFrom="paragraph">
              <wp:posOffset>-899795</wp:posOffset>
            </wp:positionV>
            <wp:extent cx="7925435" cy="10791190"/>
            <wp:effectExtent l="19050" t="0" r="0" b="0"/>
            <wp:wrapNone/>
            <wp:docPr id="7" name="Immagine 3" descr="clip_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35" cy="1079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501DBF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  <w:r>
        <w:rPr>
          <w:rFonts w:ascii="PT Sans" w:hAnsi="PT Sans"/>
        </w:rPr>
        <w:t>Se</w:t>
      </w:r>
      <w:r w:rsidR="00501DBF" w:rsidRPr="00501DBF">
        <w:rPr>
          <w:rFonts w:ascii="PT Sans" w:hAnsi="PT Sans"/>
        </w:rPr>
        <w:t xml:space="preserve">, invece, decorso il </w:t>
      </w:r>
      <w:proofErr w:type="gramStart"/>
      <w:r w:rsidR="00501DBF" w:rsidRPr="00501DBF">
        <w:rPr>
          <w:rFonts w:ascii="PT Sans" w:hAnsi="PT Sans"/>
        </w:rPr>
        <w:t>quinquennio l’</w:t>
      </w:r>
      <w:proofErr w:type="gramEnd"/>
      <w:r w:rsidR="00501DBF" w:rsidRPr="00501DBF">
        <w:rPr>
          <w:rFonts w:ascii="PT Sans" w:hAnsi="PT Sans"/>
        </w:rPr>
        <w:t xml:space="preserve">impresa costruttrice proceda alla vendita dell’immobile con applicazione opzionale dell’IVA, la detrazione IRPEF dell’IVA in fattura risulterà spettante all’acquirente, </w:t>
      </w:r>
      <w:r w:rsidR="00501DBF" w:rsidRPr="00501DBF">
        <w:rPr>
          <w:rStyle w:val="Enfasigrassetto"/>
          <w:rFonts w:ascii="PT Sans" w:hAnsi="PT Sans"/>
        </w:rPr>
        <w:t>indipendentemente dalla data di ultimazione dei lavori</w:t>
      </w:r>
      <w:r w:rsidR="00501DBF" w:rsidRPr="00501DBF">
        <w:rPr>
          <w:rFonts w:ascii="PT Sans" w:hAnsi="PT Sans"/>
        </w:rPr>
        <w:t>.   </w:t>
      </w:r>
    </w:p>
    <w:p w:rsidR="00501DBF" w:rsidRP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>Infine si evidenzia che, a differenza di quanto previs</w:t>
      </w:r>
      <w:r w:rsidR="00241507">
        <w:rPr>
          <w:rFonts w:ascii="PT Sans" w:hAnsi="PT Sans"/>
        </w:rPr>
        <w:t>t</w:t>
      </w:r>
      <w:r w:rsidRPr="00501DBF">
        <w:rPr>
          <w:rFonts w:ascii="PT Sans" w:hAnsi="PT Sans"/>
        </w:rPr>
        <w:t xml:space="preserve">o nell’ambito del bonus per ristrutturazioni edilizie, per il quale è previsto un </w:t>
      </w:r>
      <w:r w:rsidRPr="00501DBF">
        <w:rPr>
          <w:rStyle w:val="Enfasicorsivo"/>
          <w:rFonts w:ascii="PT Sans" w:hAnsi="PT Sans"/>
        </w:rPr>
        <w:t>plafond</w:t>
      </w:r>
      <w:r w:rsidRPr="00501DBF">
        <w:rPr>
          <w:rFonts w:ascii="PT Sans" w:hAnsi="PT Sans"/>
        </w:rPr>
        <w:t xml:space="preserve"> massimo di fruibilità pari a € 48.000/€ 96.000, la detrazione IRPEF in questione </w:t>
      </w:r>
      <w:r w:rsidRPr="00501DBF">
        <w:rPr>
          <w:rStyle w:val="Enfasigrassetto"/>
          <w:rFonts w:ascii="PT Sans" w:hAnsi="PT Sans"/>
        </w:rPr>
        <w:t>non è soggetta ad alcun limite di fruibilità in valore assoluto</w:t>
      </w:r>
      <w:r w:rsidRPr="00501DBF">
        <w:rPr>
          <w:rFonts w:ascii="PT Sans" w:hAnsi="PT Sans"/>
        </w:rPr>
        <w:t>.</w:t>
      </w:r>
    </w:p>
    <w:p w:rsidR="00501DBF" w:rsidRDefault="00501DBF" w:rsidP="00501DBF">
      <w:pPr>
        <w:pStyle w:val="NormaleWeb"/>
        <w:spacing w:line="380" w:lineRule="atLeast"/>
        <w:jc w:val="both"/>
        <w:rPr>
          <w:rFonts w:ascii="PT Sans" w:hAnsi="PT Sans"/>
        </w:rPr>
      </w:pPr>
      <w:r w:rsidRPr="00501DBF">
        <w:rPr>
          <w:rFonts w:ascii="PT Sans" w:hAnsi="PT Sans"/>
        </w:rPr>
        <w:t xml:space="preserve">Volendo </w:t>
      </w:r>
      <w:proofErr w:type="gramStart"/>
      <w:r w:rsidRPr="00501DBF">
        <w:rPr>
          <w:rFonts w:ascii="PT Sans" w:hAnsi="PT Sans"/>
        </w:rPr>
        <w:t>riproporre</w:t>
      </w:r>
      <w:proofErr w:type="gramEnd"/>
      <w:r w:rsidRPr="00501DBF">
        <w:rPr>
          <w:rFonts w:ascii="PT Sans" w:hAnsi="PT Sans"/>
        </w:rPr>
        <w:t xml:space="preserve"> una esemplificazione numerica, si supponga un prezzo di vendita di € 250.000, con applicazione dell’IVA in misura pari al 10%, per un totale di imposta pari a € 25.000, il tutto con perfezionamento della compravendita nel 2016 e corresponsione dell’intero prezzo nel medesimo anno; in tale ipotesi, la detrazione complessivamente spettante risulterà pari al </w:t>
      </w:r>
      <w:r w:rsidRPr="00501DBF">
        <w:rPr>
          <w:rStyle w:val="Enfasigrassetto"/>
          <w:rFonts w:ascii="PT Sans" w:hAnsi="PT Sans"/>
        </w:rPr>
        <w:t>50% dell’IVA pagata</w:t>
      </w:r>
      <w:r w:rsidRPr="00501DBF">
        <w:rPr>
          <w:rFonts w:ascii="PT Sans" w:hAnsi="PT Sans"/>
        </w:rPr>
        <w:t xml:space="preserve"> dall’acquirente, pari a € 12.500, corrispondenti a 10 rate annuali di detrazione IRPEF, ciascuna di importo pari a € 1.250.</w:t>
      </w:r>
    </w:p>
    <w:p w:rsidR="00241507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241507" w:rsidRPr="00501DBF" w:rsidRDefault="00241507" w:rsidP="00501DBF">
      <w:pPr>
        <w:pStyle w:val="NormaleWeb"/>
        <w:spacing w:line="380" w:lineRule="atLeast"/>
        <w:jc w:val="both"/>
        <w:rPr>
          <w:rFonts w:ascii="PT Sans" w:hAnsi="PT Sans"/>
        </w:rPr>
      </w:pPr>
    </w:p>
    <w:p w:rsidR="007B4E4E" w:rsidRDefault="007B4E4E" w:rsidP="0082234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</w:pPr>
    </w:p>
    <w:p w:rsidR="00822347" w:rsidRPr="00442680" w:rsidRDefault="00822347" w:rsidP="00822347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</w:pPr>
      <w:r w:rsidRPr="00822347">
        <w:rPr>
          <w:rFonts w:ascii="Times New Roman" w:eastAsia="Times New Roman" w:hAnsi="Times New Roman" w:cs="Times New Roman"/>
          <w:i/>
          <w:color w:val="984806" w:themeColor="accent6" w:themeShade="80"/>
          <w:lang w:eastAsia="it-IT"/>
        </w:rPr>
        <w:t>Dott. Francesco Pedone</w:t>
      </w:r>
    </w:p>
    <w:p w:rsidR="00CF564E" w:rsidRDefault="00CF564E"/>
    <w:sectPr w:rsidR="00CF564E" w:rsidSect="00CF5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7FF"/>
    <w:multiLevelType w:val="multilevel"/>
    <w:tmpl w:val="1F3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1202D"/>
    <w:multiLevelType w:val="multilevel"/>
    <w:tmpl w:val="39E4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147A1"/>
    <w:multiLevelType w:val="multilevel"/>
    <w:tmpl w:val="43EE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C3D3B"/>
    <w:multiLevelType w:val="multilevel"/>
    <w:tmpl w:val="5E4A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/>
  <w:rsids>
    <w:rsidRoot w:val="00442680"/>
    <w:rsid w:val="001D037C"/>
    <w:rsid w:val="001F4D0B"/>
    <w:rsid w:val="00241507"/>
    <w:rsid w:val="00442680"/>
    <w:rsid w:val="004C0BBA"/>
    <w:rsid w:val="00501DBF"/>
    <w:rsid w:val="00524AD7"/>
    <w:rsid w:val="005E66FF"/>
    <w:rsid w:val="007B4E4E"/>
    <w:rsid w:val="00816B02"/>
    <w:rsid w:val="00822347"/>
    <w:rsid w:val="00B71028"/>
    <w:rsid w:val="00CF564E"/>
    <w:rsid w:val="00E2261C"/>
    <w:rsid w:val="00E9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64E"/>
  </w:style>
  <w:style w:type="paragraph" w:styleId="Titolo1">
    <w:name w:val="heading 1"/>
    <w:basedOn w:val="Normale"/>
    <w:link w:val="Titolo1Carattere"/>
    <w:uiPriority w:val="9"/>
    <w:qFormat/>
    <w:rsid w:val="00442680"/>
    <w:pPr>
      <w:spacing w:after="13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42680"/>
    <w:pPr>
      <w:spacing w:after="136" w:line="240" w:lineRule="auto"/>
      <w:outlineLvl w:val="1"/>
    </w:pPr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442680"/>
    <w:pPr>
      <w:spacing w:after="204" w:line="240" w:lineRule="auto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680"/>
    <w:rPr>
      <w:rFonts w:ascii="Times New Roman" w:eastAsia="Times New Roman" w:hAnsi="Times New Roman" w:cs="Times New Roman"/>
      <w:b/>
      <w:bCs/>
      <w:kern w:val="36"/>
      <w:sz w:val="44"/>
      <w:szCs w:val="4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680"/>
    <w:rPr>
      <w:rFonts w:ascii="Times New Roman" w:eastAsia="Times New Roman" w:hAnsi="Times New Roman" w:cs="Times New Roman"/>
      <w:b/>
      <w:bCs/>
      <w:sz w:val="33"/>
      <w:szCs w:val="33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42680"/>
    <w:rPr>
      <w:rFonts w:ascii="Times New Roman" w:eastAsia="Times New Roman" w:hAnsi="Times New Roman" w:cs="Times New Roman"/>
      <w:b/>
      <w:bCs/>
      <w:sz w:val="25"/>
      <w:szCs w:val="25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42680"/>
    <w:rPr>
      <w:strike w:val="0"/>
      <w:dstrike w:val="0"/>
      <w:color w:val="67B8DC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442680"/>
    <w:rPr>
      <w:b/>
      <w:bCs/>
    </w:rPr>
  </w:style>
  <w:style w:type="character" w:customStyle="1" w:styleId="date-item1">
    <w:name w:val="date-item1"/>
    <w:basedOn w:val="Carpredefinitoparagrafo"/>
    <w:rsid w:val="00442680"/>
  </w:style>
  <w:style w:type="character" w:customStyle="1" w:styleId="widget-title">
    <w:name w:val="widget-title"/>
    <w:basedOn w:val="Carpredefinitoparagrafo"/>
    <w:rsid w:val="004426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68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E66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4E4E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01DB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0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scoswrapper">
    <w:name w:val="hs_cos_wrapper"/>
    <w:basedOn w:val="Carpredefinitoparagrafo"/>
    <w:rsid w:val="00501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54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14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1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5910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1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66164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72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5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07155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news.it/fisco-lavoro/nuova-detrazione-acquisto-immobili-classe-energetica-a-o-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f.pedone</dc:creator>
  <cp:lastModifiedBy>f.pedone</cp:lastModifiedBy>
  <cp:revision>9</cp:revision>
  <dcterms:created xsi:type="dcterms:W3CDTF">2015-06-25T08:53:00Z</dcterms:created>
  <dcterms:modified xsi:type="dcterms:W3CDTF">2016-04-02T17:10:00Z</dcterms:modified>
</cp:coreProperties>
</file>