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347" w:rsidRPr="00442680" w:rsidRDefault="00822347" w:rsidP="00442680">
      <w:pPr>
        <w:spacing w:after="204" w:line="240" w:lineRule="auto"/>
        <w:rPr>
          <w:rFonts w:ascii="Times New Roman" w:eastAsia="Times New Roman" w:hAnsi="Times New Roman" w:cs="Times New Roman"/>
          <w:color w:val="1A1A1A"/>
          <w:lang w:eastAsia="it-IT"/>
        </w:rPr>
      </w:pPr>
      <w:r>
        <w:rPr>
          <w:rFonts w:ascii="Times New Roman" w:eastAsia="Times New Roman" w:hAnsi="Times New Roman" w:cs="Times New Roman"/>
          <w:noProof/>
          <w:color w:val="1A1A1A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-787304</wp:posOffset>
            </wp:positionH>
            <wp:positionV relativeFrom="paragraph">
              <wp:posOffset>-1029191</wp:posOffset>
            </wp:positionV>
            <wp:extent cx="7925878" cy="10791645"/>
            <wp:effectExtent l="19050" t="0" r="0" b="0"/>
            <wp:wrapNone/>
            <wp:docPr id="3" name="Immagine 3" descr="clip_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_image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878" cy="1079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347" w:rsidRDefault="00822347" w:rsidP="00442680">
      <w:pPr>
        <w:spacing w:after="136" w:line="240" w:lineRule="auto"/>
        <w:outlineLvl w:val="2"/>
        <w:rPr>
          <w:rFonts w:ascii="Times New Roman" w:eastAsia="Times New Roman" w:hAnsi="Times New Roman" w:cs="Times New Roman"/>
          <w:b/>
          <w:bCs/>
          <w:color w:val="1A1A1A"/>
          <w:sz w:val="29"/>
          <w:szCs w:val="29"/>
          <w:lang w:eastAsia="it-IT"/>
        </w:rPr>
      </w:pPr>
    </w:p>
    <w:p w:rsidR="007B4E4E" w:rsidRDefault="007B4E4E" w:rsidP="007B4E4E">
      <w:pPr>
        <w:spacing w:after="0" w:line="240" w:lineRule="auto"/>
        <w:rPr>
          <w:i/>
          <w:color w:val="984806"/>
        </w:rPr>
      </w:pPr>
      <w:proofErr w:type="spellStart"/>
      <w:r>
        <w:rPr>
          <w:i/>
          <w:color w:val="984806"/>
          <w:sz w:val="16"/>
          <w:szCs w:val="16"/>
        </w:rPr>
        <w:t>N°</w:t>
      </w:r>
      <w:proofErr w:type="spellEnd"/>
      <w:r>
        <w:rPr>
          <w:i/>
          <w:color w:val="984806"/>
          <w:sz w:val="16"/>
          <w:szCs w:val="16"/>
        </w:rPr>
        <w:t xml:space="preserve"> 125/</w:t>
      </w:r>
      <w:proofErr w:type="gramStart"/>
      <w:r>
        <w:rPr>
          <w:i/>
          <w:color w:val="984806"/>
          <w:sz w:val="16"/>
          <w:szCs w:val="16"/>
        </w:rPr>
        <w:t>A</w:t>
      </w:r>
      <w:proofErr w:type="gramEnd"/>
      <w:r>
        <w:rPr>
          <w:i/>
          <w:color w:val="984806"/>
          <w:sz w:val="16"/>
          <w:szCs w:val="16"/>
        </w:rPr>
        <w:t xml:space="preserve"> Albo Dottori Commercialisti ed Esperti Contabili di Trani</w:t>
      </w:r>
    </w:p>
    <w:p w:rsidR="007B4E4E" w:rsidRDefault="007B4E4E" w:rsidP="007B4E4E">
      <w:pPr>
        <w:spacing w:after="0" w:line="240" w:lineRule="auto"/>
        <w:rPr>
          <w:i/>
          <w:color w:val="984806"/>
          <w:sz w:val="16"/>
          <w:szCs w:val="16"/>
        </w:rPr>
      </w:pPr>
      <w:proofErr w:type="spellStart"/>
      <w:r>
        <w:rPr>
          <w:i/>
          <w:color w:val="984806"/>
          <w:sz w:val="16"/>
          <w:szCs w:val="16"/>
        </w:rPr>
        <w:t>N°</w:t>
      </w:r>
      <w:proofErr w:type="spellEnd"/>
      <w:r>
        <w:rPr>
          <w:i/>
          <w:color w:val="984806"/>
          <w:sz w:val="16"/>
          <w:szCs w:val="16"/>
        </w:rPr>
        <w:t xml:space="preserve">  40</w:t>
      </w:r>
      <w:proofErr w:type="gramStart"/>
      <w:r>
        <w:rPr>
          <w:i/>
          <w:color w:val="984806"/>
          <w:sz w:val="16"/>
          <w:szCs w:val="16"/>
        </w:rPr>
        <w:t xml:space="preserve">    </w:t>
      </w:r>
      <w:proofErr w:type="gramEnd"/>
      <w:r>
        <w:rPr>
          <w:i/>
          <w:color w:val="984806"/>
          <w:sz w:val="16"/>
          <w:szCs w:val="16"/>
        </w:rPr>
        <w:t xml:space="preserve">Albo Consulenti del Lavoro Ordine </w:t>
      </w:r>
      <w:proofErr w:type="spellStart"/>
      <w:r>
        <w:rPr>
          <w:i/>
          <w:color w:val="984806"/>
          <w:sz w:val="16"/>
          <w:szCs w:val="16"/>
        </w:rPr>
        <w:t>Prov.le</w:t>
      </w:r>
      <w:proofErr w:type="spellEnd"/>
      <w:r>
        <w:rPr>
          <w:i/>
          <w:color w:val="984806"/>
          <w:sz w:val="16"/>
          <w:szCs w:val="16"/>
        </w:rPr>
        <w:t xml:space="preserve"> BAT</w:t>
      </w:r>
    </w:p>
    <w:p w:rsidR="007B4E4E" w:rsidRDefault="007B4E4E" w:rsidP="007B4E4E">
      <w:pPr>
        <w:spacing w:after="0" w:line="240" w:lineRule="auto"/>
        <w:rPr>
          <w:i/>
          <w:color w:val="984806"/>
        </w:rPr>
      </w:pPr>
      <w:proofErr w:type="spellStart"/>
      <w:r>
        <w:rPr>
          <w:i/>
          <w:color w:val="984806"/>
          <w:sz w:val="16"/>
          <w:szCs w:val="16"/>
        </w:rPr>
        <w:t>N°</w:t>
      </w:r>
      <w:proofErr w:type="spellEnd"/>
      <w:r>
        <w:rPr>
          <w:i/>
          <w:color w:val="984806"/>
          <w:sz w:val="16"/>
          <w:szCs w:val="16"/>
        </w:rPr>
        <w:t xml:space="preserve"> 44117 Albo Revisori Legali Ministero della Giustizia</w:t>
      </w:r>
    </w:p>
    <w:p w:rsidR="00822347" w:rsidRDefault="00822347" w:rsidP="00442680">
      <w:pPr>
        <w:spacing w:after="136" w:line="240" w:lineRule="auto"/>
        <w:outlineLvl w:val="2"/>
        <w:rPr>
          <w:rFonts w:ascii="Times New Roman" w:eastAsia="Times New Roman" w:hAnsi="Times New Roman" w:cs="Times New Roman"/>
          <w:b/>
          <w:bCs/>
          <w:color w:val="1A1A1A"/>
          <w:sz w:val="29"/>
          <w:szCs w:val="29"/>
          <w:lang w:eastAsia="it-IT"/>
        </w:rPr>
      </w:pPr>
    </w:p>
    <w:p w:rsidR="00947584" w:rsidRPr="00947584" w:rsidRDefault="00947584" w:rsidP="00947584">
      <w:pPr>
        <w:spacing w:line="240" w:lineRule="auto"/>
        <w:jc w:val="right"/>
        <w:rPr>
          <w:rFonts w:ascii="Arial Narrow" w:eastAsia="Times New Roman" w:hAnsi="Arial Narrow" w:cs="Times New Roman"/>
          <w:color w:val="984806" w:themeColor="accent6" w:themeShade="80"/>
          <w:sz w:val="24"/>
          <w:szCs w:val="24"/>
          <w:lang w:eastAsia="it-IT"/>
        </w:rPr>
      </w:pPr>
      <w:r w:rsidRPr="00947584">
        <w:rPr>
          <w:rFonts w:ascii="Arial Narrow" w:eastAsia="Times New Roman" w:hAnsi="Arial Narrow" w:cs="Times New Roman"/>
          <w:color w:val="984806" w:themeColor="accent6" w:themeShade="80"/>
          <w:sz w:val="24"/>
          <w:szCs w:val="24"/>
          <w:lang w:eastAsia="it-IT"/>
        </w:rPr>
        <w:t>Bisceglie, 02/04/2016</w:t>
      </w:r>
    </w:p>
    <w:p w:rsidR="00947584" w:rsidRDefault="00947584" w:rsidP="00947584">
      <w:pPr>
        <w:spacing w:after="136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44"/>
          <w:szCs w:val="44"/>
          <w:u w:val="single"/>
          <w:lang w:eastAsia="it-IT"/>
        </w:rPr>
      </w:pPr>
    </w:p>
    <w:p w:rsidR="00947584" w:rsidRPr="00831ABE" w:rsidRDefault="00947584" w:rsidP="00947584">
      <w:pPr>
        <w:spacing w:after="136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44"/>
          <w:szCs w:val="44"/>
          <w:u w:val="single"/>
          <w:lang w:eastAsia="it-IT"/>
        </w:rPr>
      </w:pPr>
      <w:r w:rsidRPr="00831ABE">
        <w:rPr>
          <w:rFonts w:ascii="Arial Narrow" w:eastAsia="Times New Roman" w:hAnsi="Arial Narrow" w:cs="Times New Roman"/>
          <w:b/>
          <w:bCs/>
          <w:kern w:val="36"/>
          <w:sz w:val="44"/>
          <w:szCs w:val="44"/>
          <w:u w:val="single"/>
          <w:lang w:eastAsia="it-IT"/>
        </w:rPr>
        <w:t>Pignoramento stipendio e pensione: limiti e regole</w:t>
      </w:r>
    </w:p>
    <w:p w:rsidR="00816B02" w:rsidRPr="00947584" w:rsidRDefault="00816B02" w:rsidP="00816B02">
      <w:pPr>
        <w:pStyle w:val="Default"/>
        <w:jc w:val="both"/>
        <w:rPr>
          <w:rFonts w:ascii="Arial Narrow" w:hAnsi="Arial Narrow"/>
          <w:b/>
          <w:bCs/>
          <w:sz w:val="28"/>
          <w:szCs w:val="28"/>
        </w:rPr>
      </w:pPr>
    </w:p>
    <w:p w:rsidR="00947584" w:rsidRPr="00831ABE" w:rsidRDefault="00947584" w:rsidP="00947584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831ABE">
        <w:rPr>
          <w:rFonts w:ascii="Arial Narrow" w:eastAsia="Times New Roman" w:hAnsi="Arial Narrow" w:cs="Times New Roman"/>
          <w:color w:val="1A1A1A"/>
          <w:szCs w:val="22"/>
          <w:lang w:eastAsia="it-IT"/>
        </w:rPr>
        <w:t xml:space="preserve">Il </w:t>
      </w:r>
      <w:proofErr w:type="spellStart"/>
      <w:r w:rsidRPr="00831ABE">
        <w:rPr>
          <w:rFonts w:ascii="Arial Narrow" w:eastAsia="Times New Roman" w:hAnsi="Arial Narrow" w:cs="Times New Roman"/>
          <w:color w:val="1A1A1A"/>
          <w:szCs w:val="22"/>
          <w:lang w:eastAsia="it-IT"/>
        </w:rPr>
        <w:t>DL</w:t>
      </w:r>
      <w:proofErr w:type="spellEnd"/>
      <w:r w:rsidRPr="00831ABE">
        <w:rPr>
          <w:rFonts w:ascii="Arial Narrow" w:eastAsia="Times New Roman" w:hAnsi="Arial Narrow" w:cs="Times New Roman"/>
          <w:color w:val="1A1A1A"/>
          <w:szCs w:val="22"/>
          <w:lang w:eastAsia="it-IT"/>
        </w:rPr>
        <w:t xml:space="preserve"> 83/2015 (</w:t>
      </w:r>
      <w:r w:rsidRPr="00947584">
        <w:rPr>
          <w:rFonts w:ascii="Arial Narrow" w:eastAsia="Times New Roman" w:hAnsi="Arial Narrow" w:cs="Times New Roman"/>
          <w:i/>
          <w:iCs/>
          <w:color w:val="1A1A1A"/>
          <w:lang w:eastAsia="it-IT"/>
        </w:rPr>
        <w:t>Gazzetta Ufficiale Serie Generale n.147/2015</w:t>
      </w:r>
      <w:r w:rsidRPr="00831ABE">
        <w:rPr>
          <w:rFonts w:ascii="Arial Narrow" w:eastAsia="Times New Roman" w:hAnsi="Arial Narrow" w:cs="Times New Roman"/>
          <w:color w:val="1A1A1A"/>
          <w:szCs w:val="22"/>
          <w:lang w:eastAsia="it-IT"/>
        </w:rPr>
        <w:t>) introduce consistenti novità in materia fallimentare, civile e processuale civile, prevedendo in particolare</w:t>
      </w:r>
      <w:r w:rsidRPr="00947584">
        <w:rPr>
          <w:rFonts w:ascii="Arial Narrow" w:eastAsia="Times New Roman" w:hAnsi="Arial Narrow" w:cs="Times New Roman"/>
          <w:b/>
          <w:bCs/>
          <w:color w:val="1A1A1A"/>
          <w:lang w:eastAsia="it-IT"/>
        </w:rPr>
        <w:t> </w:t>
      </w:r>
      <w:r w:rsidRPr="00831ABE">
        <w:rPr>
          <w:rFonts w:ascii="Arial Narrow" w:eastAsia="Times New Roman" w:hAnsi="Arial Narrow" w:cs="Times New Roman"/>
          <w:color w:val="1A1A1A"/>
          <w:szCs w:val="22"/>
          <w:lang w:eastAsia="it-IT"/>
        </w:rPr>
        <w:t>nuovi</w:t>
      </w:r>
      <w:r w:rsidRPr="00947584">
        <w:rPr>
          <w:rFonts w:ascii="Arial Narrow" w:eastAsia="Times New Roman" w:hAnsi="Arial Narrow" w:cs="Times New Roman"/>
          <w:b/>
          <w:bCs/>
          <w:color w:val="1A1A1A"/>
          <w:lang w:eastAsia="it-IT"/>
        </w:rPr>
        <w:t xml:space="preserve"> limiti </w:t>
      </w:r>
      <w:r w:rsidRPr="00831ABE">
        <w:rPr>
          <w:rFonts w:ascii="Arial Narrow" w:eastAsia="Times New Roman" w:hAnsi="Arial Narrow" w:cs="Times New Roman"/>
          <w:color w:val="1A1A1A"/>
          <w:szCs w:val="22"/>
          <w:lang w:eastAsia="it-IT"/>
        </w:rPr>
        <w:t>sul</w:t>
      </w:r>
      <w:r w:rsidRPr="00947584">
        <w:rPr>
          <w:rFonts w:ascii="Arial Narrow" w:eastAsia="Times New Roman" w:hAnsi="Arial Narrow" w:cs="Times New Roman"/>
          <w:b/>
          <w:bCs/>
          <w:color w:val="1A1A1A"/>
          <w:lang w:eastAsia="it-IT"/>
        </w:rPr>
        <w:t xml:space="preserve"> pignoramento </w:t>
      </w:r>
      <w:r w:rsidRPr="00831ABE">
        <w:rPr>
          <w:rFonts w:ascii="Arial Narrow" w:eastAsia="Times New Roman" w:hAnsi="Arial Narrow" w:cs="Times New Roman"/>
          <w:color w:val="1A1A1A"/>
          <w:szCs w:val="22"/>
          <w:lang w:eastAsia="it-IT"/>
        </w:rPr>
        <w:t>della</w:t>
      </w:r>
      <w:r w:rsidRPr="00947584">
        <w:rPr>
          <w:rFonts w:ascii="Arial Narrow" w:eastAsia="Times New Roman" w:hAnsi="Arial Narrow" w:cs="Times New Roman"/>
          <w:b/>
          <w:bCs/>
          <w:color w:val="1A1A1A"/>
          <w:lang w:eastAsia="it-IT"/>
        </w:rPr>
        <w:t xml:space="preserve"> pensione e </w:t>
      </w:r>
      <w:r w:rsidRPr="00831ABE">
        <w:rPr>
          <w:rFonts w:ascii="Arial Narrow" w:eastAsia="Times New Roman" w:hAnsi="Arial Narrow" w:cs="Times New Roman"/>
          <w:color w:val="1A1A1A"/>
          <w:szCs w:val="22"/>
          <w:lang w:eastAsia="it-IT"/>
        </w:rPr>
        <w:t>dello</w:t>
      </w:r>
      <w:r w:rsidRPr="00947584">
        <w:rPr>
          <w:rFonts w:ascii="Arial Narrow" w:eastAsia="Times New Roman" w:hAnsi="Arial Narrow" w:cs="Times New Roman"/>
          <w:b/>
          <w:bCs/>
          <w:color w:val="1A1A1A"/>
          <w:lang w:eastAsia="it-IT"/>
        </w:rPr>
        <w:t xml:space="preserve"> stipendio</w:t>
      </w:r>
      <w:r w:rsidRPr="00831ABE">
        <w:rPr>
          <w:rFonts w:ascii="Arial Narrow" w:eastAsia="Times New Roman" w:hAnsi="Arial Narrow" w:cs="Times New Roman"/>
          <w:color w:val="1A1A1A"/>
          <w:szCs w:val="22"/>
          <w:lang w:eastAsia="it-IT"/>
        </w:rPr>
        <w:t> </w:t>
      </w:r>
      <w:proofErr w:type="gramStart"/>
      <w:r w:rsidRPr="00831ABE">
        <w:rPr>
          <w:rFonts w:ascii="Arial Narrow" w:eastAsia="Times New Roman" w:hAnsi="Arial Narrow" w:cs="Times New Roman"/>
          <w:color w:val="1A1A1A"/>
          <w:szCs w:val="22"/>
          <w:lang w:eastAsia="it-IT"/>
        </w:rPr>
        <w:t>nonché</w:t>
      </w:r>
      <w:proofErr w:type="gramEnd"/>
      <w:r w:rsidRPr="00831ABE">
        <w:rPr>
          <w:rFonts w:ascii="Arial Narrow" w:eastAsia="Times New Roman" w:hAnsi="Arial Narrow" w:cs="Times New Roman"/>
          <w:color w:val="1A1A1A"/>
          <w:szCs w:val="22"/>
          <w:lang w:eastAsia="it-IT"/>
        </w:rPr>
        <w:t xml:space="preserve"> ai prelievi forzosi sui </w:t>
      </w:r>
      <w:r w:rsidRPr="00947584">
        <w:rPr>
          <w:rFonts w:ascii="Arial Narrow" w:eastAsia="Times New Roman" w:hAnsi="Arial Narrow" w:cs="Times New Roman"/>
          <w:b/>
          <w:bCs/>
          <w:color w:val="1A1A1A"/>
          <w:lang w:eastAsia="it-IT"/>
        </w:rPr>
        <w:t>conti correnti</w:t>
      </w:r>
      <w:r w:rsidRPr="00947584">
        <w:rPr>
          <w:rFonts w:ascii="Arial Narrow" w:eastAsia="Times New Roman" w:hAnsi="Arial Narrow" w:cs="Times New Roman"/>
          <w:color w:val="1A1A1A"/>
          <w:lang w:eastAsia="it-IT"/>
        </w:rPr>
        <w:t>;</w:t>
      </w:r>
      <w:r w:rsidRPr="00831ABE">
        <w:rPr>
          <w:rFonts w:ascii="Arial Narrow" w:eastAsia="Times New Roman" w:hAnsi="Arial Narrow" w:cs="Times New Roman"/>
          <w:color w:val="1A1A1A"/>
          <w:szCs w:val="22"/>
          <w:lang w:eastAsia="it-IT"/>
        </w:rPr>
        <w:t xml:space="preserve"> tutte misure previste nei casi in cui un creditore abbia a che fare con un debitore insolvente.</w:t>
      </w:r>
    </w:p>
    <w:p w:rsidR="00947584" w:rsidRPr="00831ABE" w:rsidRDefault="00947584" w:rsidP="00947584">
      <w:pPr>
        <w:spacing w:after="204" w:line="240" w:lineRule="auto"/>
        <w:outlineLvl w:val="3"/>
        <w:rPr>
          <w:rFonts w:ascii="Arial Narrow" w:eastAsia="Times New Roman" w:hAnsi="Arial Narrow" w:cs="Times New Roman"/>
          <w:b/>
          <w:bCs/>
          <w:sz w:val="25"/>
          <w:szCs w:val="25"/>
          <w:lang w:eastAsia="it-IT"/>
        </w:rPr>
      </w:pPr>
      <w:hyperlink r:id="rId6" w:tgtFrame="_blank" w:tooltip="Pignoramento pensione: limiti e garanzie" w:history="1">
        <w:r w:rsidRPr="00947584">
          <w:rPr>
            <w:rFonts w:ascii="Arial Narrow" w:eastAsia="Times New Roman" w:hAnsi="Arial Narrow" w:cs="Times New Roman"/>
            <w:b/>
            <w:bCs/>
            <w:sz w:val="25"/>
            <w:szCs w:val="25"/>
            <w:lang w:eastAsia="it-IT"/>
          </w:rPr>
          <w:t xml:space="preserve"> Pignoramento pensione: limiti e garanzie</w:t>
        </w:r>
      </w:hyperlink>
    </w:p>
    <w:p w:rsidR="00947584" w:rsidRPr="00831ABE" w:rsidRDefault="00947584" w:rsidP="00947584">
      <w:pPr>
        <w:spacing w:after="204" w:line="240" w:lineRule="auto"/>
        <w:jc w:val="both"/>
        <w:rPr>
          <w:rFonts w:ascii="Arial Narrow" w:eastAsia="Times New Roman" w:hAnsi="Arial Narrow" w:cs="Times New Roman"/>
          <w:color w:val="1A1A1A"/>
          <w:lang w:eastAsia="it-IT"/>
        </w:rPr>
      </w:pPr>
      <w:r w:rsidRPr="00831ABE">
        <w:rPr>
          <w:rFonts w:ascii="Arial Narrow" w:eastAsia="Times New Roman" w:hAnsi="Arial Narrow" w:cs="Times New Roman"/>
          <w:lang w:eastAsia="it-IT"/>
        </w:rPr>
        <w:t xml:space="preserve">I limiti di </w:t>
      </w:r>
      <w:r w:rsidRPr="00947584">
        <w:rPr>
          <w:rFonts w:ascii="Arial Narrow" w:eastAsia="Times New Roman" w:hAnsi="Arial Narrow" w:cs="Times New Roman"/>
          <w:b/>
          <w:bCs/>
          <w:lang w:eastAsia="it-IT"/>
        </w:rPr>
        <w:t>impignorabilità</w:t>
      </w:r>
      <w:r w:rsidRPr="00831ABE">
        <w:rPr>
          <w:rFonts w:ascii="Arial Narrow" w:eastAsia="Times New Roman" w:hAnsi="Arial Narrow" w:cs="Times New Roman"/>
          <w:lang w:eastAsia="it-IT"/>
        </w:rPr>
        <w:t xml:space="preserve"> riguardano solo le somme accreditate che derivano da </w:t>
      </w:r>
      <w:hyperlink r:id="rId7" w:tgtFrame="_blank" w:tooltip="Notizie sulle pensioni" w:history="1">
        <w:r w:rsidRPr="00831ABE">
          <w:rPr>
            <w:rFonts w:ascii="Arial Narrow" w:eastAsia="Times New Roman" w:hAnsi="Arial Narrow" w:cs="Times New Roman"/>
            <w:b/>
            <w:bCs/>
            <w:lang w:eastAsia="it-IT"/>
          </w:rPr>
          <w:t>pensioni</w:t>
        </w:r>
      </w:hyperlink>
      <w:r w:rsidRPr="00831ABE">
        <w:rPr>
          <w:rFonts w:ascii="Arial Narrow" w:eastAsia="Times New Roman" w:hAnsi="Arial Narrow" w:cs="Times New Roman"/>
          <w:lang w:eastAsia="it-IT"/>
        </w:rPr>
        <w:t> o </w:t>
      </w:r>
      <w:hyperlink r:id="rId8" w:tgtFrame="_blank" w:tooltip="Notizie sugli stipendi" w:history="1">
        <w:r w:rsidRPr="00831ABE">
          <w:rPr>
            <w:rFonts w:ascii="Arial Narrow" w:eastAsia="Times New Roman" w:hAnsi="Arial Narrow" w:cs="Times New Roman"/>
            <w:b/>
            <w:bCs/>
            <w:lang w:eastAsia="it-IT"/>
          </w:rPr>
          <w:t>stipendi</w:t>
        </w:r>
      </w:hyperlink>
      <w:r w:rsidRPr="00831ABE">
        <w:rPr>
          <w:rFonts w:ascii="Arial Narrow" w:eastAsia="Times New Roman" w:hAnsi="Arial Narrow" w:cs="Times New Roman"/>
          <w:lang w:eastAsia="it-IT"/>
        </w:rPr>
        <w:t>, mentre quelle aventi causale diversa possono essere bloccate dagli istituti di credito senza alcun limite. </w:t>
      </w:r>
      <w:proofErr w:type="gramStart"/>
      <w:r w:rsidRPr="00831ABE">
        <w:rPr>
          <w:rFonts w:ascii="Arial Narrow" w:eastAsia="Times New Roman" w:hAnsi="Arial Narrow" w:cs="Times New Roman"/>
          <w:lang w:eastAsia="it-IT"/>
        </w:rPr>
        <w:t>Ad</w:t>
      </w:r>
      <w:proofErr w:type="gramEnd"/>
      <w:r w:rsidRPr="00831ABE">
        <w:rPr>
          <w:rFonts w:ascii="Arial Narrow" w:eastAsia="Times New Roman" w:hAnsi="Arial Narrow" w:cs="Times New Roman"/>
          <w:lang w:eastAsia="it-IT"/>
        </w:rPr>
        <w:t xml:space="preserve"> essere modificata è la quota della </w:t>
      </w:r>
      <w:r w:rsidRPr="00947584">
        <w:rPr>
          <w:rFonts w:ascii="Arial Narrow" w:eastAsia="Times New Roman" w:hAnsi="Arial Narrow" w:cs="Times New Roman"/>
          <w:b/>
          <w:bCs/>
          <w:lang w:eastAsia="it-IT"/>
        </w:rPr>
        <w:t xml:space="preserve">base </w:t>
      </w:r>
      <w:r w:rsidRPr="00831ABE">
        <w:rPr>
          <w:rFonts w:ascii="Arial Narrow" w:eastAsia="Times New Roman" w:hAnsi="Arial Narrow" w:cs="Times New Roman"/>
          <w:lang w:eastAsia="it-IT"/>
        </w:rPr>
        <w:t xml:space="preserve">pignorabile di stipendi, pensioni e somme ad essi assimilati (TFR, indennità, assegni, salari, </w:t>
      </w:r>
      <w:proofErr w:type="spellStart"/>
      <w:r w:rsidRPr="00831ABE">
        <w:rPr>
          <w:rFonts w:ascii="Arial Narrow" w:eastAsia="Times New Roman" w:hAnsi="Arial Narrow" w:cs="Times New Roman"/>
          <w:lang w:eastAsia="it-IT"/>
        </w:rPr>
        <w:t>etc</w:t>
      </w:r>
      <w:proofErr w:type="spellEnd"/>
      <w:r w:rsidRPr="00831ABE">
        <w:rPr>
          <w:rFonts w:ascii="Arial Narrow" w:eastAsia="Times New Roman" w:hAnsi="Arial Narrow" w:cs="Times New Roman"/>
          <w:lang w:eastAsia="it-IT"/>
        </w:rPr>
        <w:t xml:space="preserve">). Nell’eventualità in cui il creditore dovesse violare i nuovi limiti, il pignoramento </w:t>
      </w:r>
      <w:proofErr w:type="gramStart"/>
      <w:r w:rsidRPr="00831ABE">
        <w:rPr>
          <w:rFonts w:ascii="Arial Narrow" w:eastAsia="Times New Roman" w:hAnsi="Arial Narrow" w:cs="Times New Roman"/>
          <w:lang w:eastAsia="it-IT"/>
        </w:rPr>
        <w:t>viene</w:t>
      </w:r>
      <w:proofErr w:type="gramEnd"/>
      <w:r w:rsidRPr="00831ABE">
        <w:rPr>
          <w:rFonts w:ascii="Arial Narrow" w:eastAsia="Times New Roman" w:hAnsi="Arial Narrow" w:cs="Times New Roman"/>
          <w:lang w:eastAsia="it-IT"/>
        </w:rPr>
        <w:t xml:space="preserve"> annullato con riferimento alle sole somme eccedenti la </w:t>
      </w:r>
      <w:r w:rsidRPr="00947584">
        <w:rPr>
          <w:rFonts w:ascii="Arial Narrow" w:eastAsia="Times New Roman" w:hAnsi="Arial Narrow" w:cs="Times New Roman"/>
          <w:b/>
          <w:bCs/>
          <w:lang w:eastAsia="it-IT"/>
        </w:rPr>
        <w:t>soglia di non pignorabilità</w:t>
      </w:r>
      <w:r w:rsidRPr="00831ABE">
        <w:rPr>
          <w:rFonts w:ascii="Arial Narrow" w:eastAsia="Times New Roman" w:hAnsi="Arial Narrow" w:cs="Times New Roman"/>
          <w:color w:val="1A1A1A"/>
          <w:lang w:eastAsia="it-IT"/>
        </w:rPr>
        <w:t>.</w:t>
      </w:r>
    </w:p>
    <w:p w:rsidR="00947584" w:rsidRPr="00831ABE" w:rsidRDefault="00947584" w:rsidP="00947584">
      <w:pPr>
        <w:spacing w:after="204" w:line="240" w:lineRule="auto"/>
        <w:outlineLvl w:val="3"/>
        <w:rPr>
          <w:rFonts w:ascii="Arial Narrow" w:eastAsia="Times New Roman" w:hAnsi="Arial Narrow" w:cs="Times New Roman"/>
          <w:b/>
          <w:bCs/>
          <w:sz w:val="25"/>
          <w:szCs w:val="25"/>
          <w:lang w:eastAsia="it-IT"/>
        </w:rPr>
      </w:pPr>
      <w:r w:rsidRPr="00947584">
        <w:rPr>
          <w:rFonts w:ascii="Arial Narrow" w:eastAsia="Times New Roman" w:hAnsi="Arial Narrow" w:cs="Times New Roman"/>
          <w:b/>
          <w:bCs/>
          <w:sz w:val="25"/>
          <w:szCs w:val="25"/>
          <w:lang w:eastAsia="it-IT"/>
        </w:rPr>
        <w:t>N.B.: i</w:t>
      </w:r>
      <w:hyperlink r:id="rId9" w:tgtFrame="_blank" w:tooltip="Il pignoramento Equitalia è nullo se sproporzionato" w:history="1">
        <w:r w:rsidRPr="00947584">
          <w:rPr>
            <w:rFonts w:ascii="Arial Narrow" w:eastAsia="Times New Roman" w:hAnsi="Arial Narrow" w:cs="Times New Roman"/>
            <w:b/>
            <w:bCs/>
            <w:sz w:val="25"/>
            <w:szCs w:val="25"/>
            <w:lang w:eastAsia="it-IT"/>
          </w:rPr>
          <w:t xml:space="preserve">l pignoramento di </w:t>
        </w:r>
        <w:proofErr w:type="spellStart"/>
        <w:r w:rsidRPr="00947584">
          <w:rPr>
            <w:rFonts w:ascii="Arial Narrow" w:eastAsia="Times New Roman" w:hAnsi="Arial Narrow" w:cs="Times New Roman"/>
            <w:b/>
            <w:bCs/>
            <w:sz w:val="25"/>
            <w:szCs w:val="25"/>
            <w:lang w:eastAsia="it-IT"/>
          </w:rPr>
          <w:t>Equitalia</w:t>
        </w:r>
        <w:proofErr w:type="spellEnd"/>
        <w:r w:rsidRPr="00947584">
          <w:rPr>
            <w:rFonts w:ascii="Arial Narrow" w:eastAsia="Times New Roman" w:hAnsi="Arial Narrow" w:cs="Times New Roman"/>
            <w:b/>
            <w:bCs/>
            <w:sz w:val="25"/>
            <w:szCs w:val="25"/>
            <w:lang w:eastAsia="it-IT"/>
          </w:rPr>
          <w:t xml:space="preserve"> è nullo se sproporzionato</w:t>
        </w:r>
      </w:hyperlink>
      <w:r w:rsidRPr="00947584">
        <w:rPr>
          <w:rFonts w:ascii="Arial Narrow" w:eastAsia="Times New Roman" w:hAnsi="Arial Narrow" w:cs="Times New Roman"/>
          <w:b/>
          <w:bCs/>
          <w:sz w:val="25"/>
          <w:szCs w:val="25"/>
          <w:lang w:eastAsia="it-IT"/>
        </w:rPr>
        <w:t>.</w:t>
      </w:r>
    </w:p>
    <w:p w:rsidR="00947584" w:rsidRPr="00831ABE" w:rsidRDefault="00947584" w:rsidP="00947584">
      <w:pPr>
        <w:spacing w:after="136" w:line="240" w:lineRule="auto"/>
        <w:outlineLvl w:val="2"/>
        <w:rPr>
          <w:rFonts w:ascii="Arial Narrow" w:eastAsia="Times New Roman" w:hAnsi="Arial Narrow" w:cs="Times New Roman"/>
          <w:b/>
          <w:bCs/>
          <w:color w:val="1A1A1A"/>
          <w:sz w:val="29"/>
          <w:szCs w:val="29"/>
          <w:lang w:eastAsia="it-IT"/>
        </w:rPr>
      </w:pPr>
      <w:r w:rsidRPr="00831ABE">
        <w:rPr>
          <w:rFonts w:ascii="Arial Narrow" w:eastAsia="Times New Roman" w:hAnsi="Arial Narrow" w:cs="Times New Roman"/>
          <w:b/>
          <w:bCs/>
          <w:color w:val="1A1A1A"/>
          <w:sz w:val="29"/>
          <w:szCs w:val="29"/>
          <w:lang w:eastAsia="it-IT"/>
        </w:rPr>
        <w:t>Minimo impignorabile</w:t>
      </w:r>
    </w:p>
    <w:p w:rsidR="00947584" w:rsidRPr="00831ABE" w:rsidRDefault="00947584" w:rsidP="00947584">
      <w:pPr>
        <w:spacing w:after="204" w:line="240" w:lineRule="auto"/>
        <w:rPr>
          <w:rFonts w:ascii="Arial Narrow" w:eastAsia="Times New Roman" w:hAnsi="Arial Narrow" w:cs="Times New Roman"/>
          <w:color w:val="1A1A1A"/>
          <w:lang w:eastAsia="it-IT"/>
        </w:rPr>
      </w:pPr>
      <w:r w:rsidRPr="00831ABE">
        <w:rPr>
          <w:rFonts w:ascii="Arial Narrow" w:eastAsia="Times New Roman" w:hAnsi="Arial Narrow" w:cs="Times New Roman"/>
          <w:color w:val="1A1A1A"/>
          <w:lang w:eastAsia="it-IT"/>
        </w:rPr>
        <w:t>Il Decreto fissa anche il cosiddetto </w:t>
      </w:r>
      <w:r w:rsidRPr="00947584">
        <w:rPr>
          <w:rFonts w:ascii="Arial Narrow" w:eastAsia="Times New Roman" w:hAnsi="Arial Narrow" w:cs="Times New Roman"/>
          <w:b/>
          <w:bCs/>
          <w:color w:val="1A1A1A"/>
          <w:lang w:eastAsia="it-IT"/>
        </w:rPr>
        <w:t>minimo vitale impignorabile</w:t>
      </w:r>
      <w:r w:rsidRPr="00831ABE">
        <w:rPr>
          <w:rFonts w:ascii="Arial Narrow" w:eastAsia="Times New Roman" w:hAnsi="Arial Narrow" w:cs="Times New Roman"/>
          <w:color w:val="1A1A1A"/>
          <w:lang w:eastAsia="it-IT"/>
        </w:rPr>
        <w:t xml:space="preserve">. Per la definizione dei limiti, è fondamentale il momento in cui le somme </w:t>
      </w:r>
      <w:proofErr w:type="gramStart"/>
      <w:r w:rsidRPr="00831ABE">
        <w:rPr>
          <w:rFonts w:ascii="Arial Narrow" w:eastAsia="Times New Roman" w:hAnsi="Arial Narrow" w:cs="Times New Roman"/>
          <w:color w:val="1A1A1A"/>
          <w:lang w:eastAsia="it-IT"/>
        </w:rPr>
        <w:t>vengono</w:t>
      </w:r>
      <w:proofErr w:type="gramEnd"/>
      <w:r w:rsidRPr="00831ABE">
        <w:rPr>
          <w:rFonts w:ascii="Arial Narrow" w:eastAsia="Times New Roman" w:hAnsi="Arial Narrow" w:cs="Times New Roman"/>
          <w:color w:val="1A1A1A"/>
          <w:lang w:eastAsia="it-IT"/>
        </w:rPr>
        <w:t xml:space="preserve"> accreditate sul conto, prima o dopo il pignoramento:</w:t>
      </w:r>
    </w:p>
    <w:p w:rsidR="00947584" w:rsidRPr="00831ABE" w:rsidRDefault="00947584" w:rsidP="00947584">
      <w:pPr>
        <w:numPr>
          <w:ilvl w:val="0"/>
          <w:numId w:val="5"/>
        </w:numPr>
        <w:spacing w:before="100" w:beforeAutospacing="1" w:after="100" w:afterAutospacing="1" w:line="240" w:lineRule="auto"/>
        <w:ind w:left="340"/>
        <w:rPr>
          <w:rFonts w:ascii="Arial Narrow" w:eastAsia="Times New Roman" w:hAnsi="Arial Narrow" w:cs="Times New Roman"/>
          <w:color w:val="1A1A1A"/>
          <w:lang w:eastAsia="it-IT"/>
        </w:rPr>
      </w:pPr>
      <w:proofErr w:type="gramStart"/>
      <w:r w:rsidRPr="00947584">
        <w:rPr>
          <w:rFonts w:ascii="Arial Narrow" w:eastAsia="Times New Roman" w:hAnsi="Arial Narrow" w:cs="Times New Roman"/>
          <w:b/>
          <w:bCs/>
          <w:color w:val="1A1A1A"/>
          <w:lang w:eastAsia="it-IT"/>
        </w:rPr>
        <w:t>accreditate</w:t>
      </w:r>
      <w:proofErr w:type="gramEnd"/>
      <w:r w:rsidRPr="00947584">
        <w:rPr>
          <w:rFonts w:ascii="Arial Narrow" w:eastAsia="Times New Roman" w:hAnsi="Arial Narrow" w:cs="Times New Roman"/>
          <w:b/>
          <w:bCs/>
          <w:color w:val="1A1A1A"/>
          <w:lang w:eastAsia="it-IT"/>
        </w:rPr>
        <w:t xml:space="preserve"> prima</w:t>
      </w:r>
      <w:r w:rsidRPr="00831ABE">
        <w:rPr>
          <w:rFonts w:ascii="Arial Narrow" w:eastAsia="Times New Roman" w:hAnsi="Arial Narrow" w:cs="Times New Roman"/>
          <w:color w:val="1A1A1A"/>
          <w:lang w:eastAsia="it-IT"/>
        </w:rPr>
        <w:t>: il minimo vitale impignorabile viene fissato a tre volte l’assegno sociale previsto per legge (</w:t>
      </w:r>
      <w:r w:rsidRPr="00947584">
        <w:rPr>
          <w:rFonts w:ascii="Arial Narrow" w:eastAsia="Times New Roman" w:hAnsi="Arial Narrow" w:cs="Times New Roman"/>
          <w:b/>
          <w:bCs/>
          <w:color w:val="1A1A1A"/>
          <w:lang w:eastAsia="it-IT"/>
        </w:rPr>
        <w:t>1.345,56 euro</w:t>
      </w:r>
      <w:r w:rsidRPr="00831ABE">
        <w:rPr>
          <w:rFonts w:ascii="Arial Narrow" w:eastAsia="Times New Roman" w:hAnsi="Arial Narrow" w:cs="Times New Roman"/>
          <w:color w:val="1A1A1A"/>
          <w:lang w:eastAsia="it-IT"/>
        </w:rPr>
        <w:t>, pari a 448,52*3);</w:t>
      </w:r>
    </w:p>
    <w:p w:rsidR="00947584" w:rsidRPr="00831ABE" w:rsidRDefault="00947584" w:rsidP="00947584">
      <w:pPr>
        <w:numPr>
          <w:ilvl w:val="0"/>
          <w:numId w:val="5"/>
        </w:numPr>
        <w:spacing w:before="100" w:beforeAutospacing="1" w:after="100" w:afterAutospacing="1" w:line="240" w:lineRule="auto"/>
        <w:ind w:left="340"/>
        <w:rPr>
          <w:rFonts w:ascii="Arial Narrow" w:eastAsia="Times New Roman" w:hAnsi="Arial Narrow" w:cs="Times New Roman"/>
          <w:color w:val="1A1A1A"/>
          <w:lang w:eastAsia="it-IT"/>
        </w:rPr>
      </w:pPr>
      <w:proofErr w:type="gramStart"/>
      <w:r w:rsidRPr="00831ABE">
        <w:rPr>
          <w:rFonts w:ascii="Arial Narrow" w:eastAsia="Times New Roman" w:hAnsi="Arial Narrow" w:cs="Times New Roman"/>
          <w:color w:val="1A1A1A"/>
          <w:lang w:eastAsia="it-IT"/>
        </w:rPr>
        <w:t>gli</w:t>
      </w:r>
      <w:proofErr w:type="gramEnd"/>
      <w:r w:rsidRPr="00831ABE">
        <w:rPr>
          <w:rFonts w:ascii="Arial Narrow" w:eastAsia="Times New Roman" w:hAnsi="Arial Narrow" w:cs="Times New Roman"/>
          <w:color w:val="1A1A1A"/>
          <w:lang w:eastAsia="it-IT"/>
        </w:rPr>
        <w:t xml:space="preserve"> importi accreditati che superino tale importo, </w:t>
      </w:r>
      <w:r w:rsidRPr="00947584">
        <w:rPr>
          <w:rFonts w:ascii="Arial Narrow" w:eastAsia="Times New Roman" w:hAnsi="Arial Narrow" w:cs="Times New Roman"/>
          <w:color w:val="1A1A1A"/>
          <w:lang w:eastAsia="it-IT"/>
        </w:rPr>
        <w:t>possono</w:t>
      </w:r>
      <w:r w:rsidRPr="00831ABE">
        <w:rPr>
          <w:rFonts w:ascii="Arial Narrow" w:eastAsia="Times New Roman" w:hAnsi="Arial Narrow" w:cs="Times New Roman"/>
          <w:color w:val="1A1A1A"/>
          <w:lang w:eastAsia="it-IT"/>
        </w:rPr>
        <w:t xml:space="preserve"> essere pignorat</w:t>
      </w:r>
      <w:r w:rsidRPr="00947584">
        <w:rPr>
          <w:rFonts w:ascii="Arial Narrow" w:eastAsia="Times New Roman" w:hAnsi="Arial Narrow" w:cs="Times New Roman"/>
          <w:color w:val="1A1A1A"/>
          <w:lang w:eastAsia="it-IT"/>
        </w:rPr>
        <w:t>i</w:t>
      </w:r>
      <w:r w:rsidRPr="00831ABE">
        <w:rPr>
          <w:rFonts w:ascii="Arial Narrow" w:eastAsia="Times New Roman" w:hAnsi="Arial Narrow" w:cs="Times New Roman"/>
          <w:color w:val="1A1A1A"/>
          <w:lang w:eastAsia="it-IT"/>
        </w:rPr>
        <w:t xml:space="preserve"> </w:t>
      </w:r>
      <w:r w:rsidRPr="00947584">
        <w:rPr>
          <w:rFonts w:ascii="Arial Narrow" w:eastAsia="Times New Roman" w:hAnsi="Arial Narrow" w:cs="Times New Roman"/>
          <w:color w:val="1A1A1A"/>
          <w:lang w:eastAsia="it-IT"/>
        </w:rPr>
        <w:t>per</w:t>
      </w:r>
      <w:r w:rsidRPr="00831ABE">
        <w:rPr>
          <w:rFonts w:ascii="Arial Narrow" w:eastAsia="Times New Roman" w:hAnsi="Arial Narrow" w:cs="Times New Roman"/>
          <w:color w:val="1A1A1A"/>
          <w:lang w:eastAsia="it-IT"/>
        </w:rPr>
        <w:t xml:space="preserve"> un quinto.</w:t>
      </w:r>
    </w:p>
    <w:p w:rsidR="00947584" w:rsidRPr="00831ABE" w:rsidRDefault="00947584" w:rsidP="00947584">
      <w:pPr>
        <w:numPr>
          <w:ilvl w:val="0"/>
          <w:numId w:val="5"/>
        </w:numPr>
        <w:spacing w:before="100" w:beforeAutospacing="1" w:after="100" w:afterAutospacing="1" w:line="240" w:lineRule="auto"/>
        <w:ind w:left="340"/>
        <w:rPr>
          <w:rFonts w:ascii="Arial Narrow" w:eastAsia="Times New Roman" w:hAnsi="Arial Narrow" w:cs="Times New Roman"/>
          <w:color w:val="1A1A1A"/>
          <w:lang w:eastAsia="it-IT"/>
        </w:rPr>
      </w:pPr>
      <w:proofErr w:type="gramStart"/>
      <w:r w:rsidRPr="00947584">
        <w:rPr>
          <w:rFonts w:ascii="Arial Narrow" w:eastAsia="Times New Roman" w:hAnsi="Arial Narrow" w:cs="Times New Roman"/>
          <w:b/>
          <w:bCs/>
          <w:color w:val="1A1A1A"/>
          <w:lang w:eastAsia="it-IT"/>
        </w:rPr>
        <w:t>accreditate</w:t>
      </w:r>
      <w:proofErr w:type="gramEnd"/>
      <w:r w:rsidRPr="00947584">
        <w:rPr>
          <w:rFonts w:ascii="Arial Narrow" w:eastAsia="Times New Roman" w:hAnsi="Arial Narrow" w:cs="Times New Roman"/>
          <w:b/>
          <w:bCs/>
          <w:color w:val="1A1A1A"/>
          <w:lang w:eastAsia="it-IT"/>
        </w:rPr>
        <w:t xml:space="preserve"> dopo</w:t>
      </w:r>
      <w:r w:rsidRPr="00831ABE">
        <w:rPr>
          <w:rFonts w:ascii="Arial Narrow" w:eastAsia="Times New Roman" w:hAnsi="Arial Narrow" w:cs="Times New Roman"/>
          <w:color w:val="1A1A1A"/>
          <w:lang w:eastAsia="it-IT"/>
        </w:rPr>
        <w:t>, questo può riguardare solo la differenza tra l’importo mensile accreditato e un valore pari all’assegno sociale moltiplicato per 1,5 (</w:t>
      </w:r>
      <w:r w:rsidRPr="00947584">
        <w:rPr>
          <w:rFonts w:ascii="Arial Narrow" w:eastAsia="Times New Roman" w:hAnsi="Arial Narrow" w:cs="Times New Roman"/>
          <w:b/>
          <w:bCs/>
          <w:color w:val="1A1A1A"/>
          <w:lang w:eastAsia="it-IT"/>
        </w:rPr>
        <w:t>672,76 euro</w:t>
      </w:r>
      <w:r w:rsidRPr="00831ABE">
        <w:rPr>
          <w:rFonts w:ascii="Arial Narrow" w:eastAsia="Times New Roman" w:hAnsi="Arial Narrow" w:cs="Times New Roman"/>
          <w:color w:val="1A1A1A"/>
          <w:lang w:eastAsia="it-IT"/>
        </w:rPr>
        <w:t>).</w:t>
      </w:r>
    </w:p>
    <w:p w:rsidR="00947584" w:rsidRPr="00831ABE" w:rsidRDefault="00947584" w:rsidP="00947584">
      <w:pPr>
        <w:spacing w:after="136" w:line="240" w:lineRule="auto"/>
        <w:outlineLvl w:val="2"/>
        <w:rPr>
          <w:rFonts w:ascii="Arial Narrow" w:eastAsia="Times New Roman" w:hAnsi="Arial Narrow" w:cs="Times New Roman"/>
          <w:b/>
          <w:bCs/>
          <w:color w:val="1A1A1A"/>
          <w:sz w:val="29"/>
          <w:szCs w:val="29"/>
          <w:lang w:eastAsia="it-IT"/>
        </w:rPr>
      </w:pPr>
      <w:r w:rsidRPr="00831ABE">
        <w:rPr>
          <w:rFonts w:ascii="Arial Narrow" w:eastAsia="Times New Roman" w:hAnsi="Arial Narrow" w:cs="Times New Roman"/>
          <w:b/>
          <w:bCs/>
          <w:color w:val="1A1A1A"/>
          <w:sz w:val="29"/>
          <w:szCs w:val="29"/>
          <w:lang w:eastAsia="it-IT"/>
        </w:rPr>
        <w:t>Casi particolari</w:t>
      </w:r>
    </w:p>
    <w:p w:rsidR="00947584" w:rsidRPr="00831ABE" w:rsidRDefault="00947584" w:rsidP="00947584">
      <w:pPr>
        <w:spacing w:after="204" w:line="240" w:lineRule="auto"/>
        <w:rPr>
          <w:rFonts w:ascii="Arial Narrow" w:eastAsia="Times New Roman" w:hAnsi="Arial Narrow" w:cs="Times New Roman"/>
          <w:color w:val="1A1A1A"/>
          <w:lang w:eastAsia="it-IT"/>
        </w:rPr>
      </w:pPr>
      <w:r w:rsidRPr="00831ABE">
        <w:rPr>
          <w:rFonts w:ascii="Arial Narrow" w:eastAsia="Times New Roman" w:hAnsi="Arial Narrow" w:cs="Times New Roman"/>
          <w:color w:val="1A1A1A"/>
          <w:lang w:eastAsia="it-IT"/>
        </w:rPr>
        <w:t xml:space="preserve">Per i crediti dello Stato, del Comune o della Provincia il limite è pari </w:t>
      </w:r>
      <w:proofErr w:type="gramStart"/>
      <w:r w:rsidRPr="00831ABE">
        <w:rPr>
          <w:rFonts w:ascii="Arial Narrow" w:eastAsia="Times New Roman" w:hAnsi="Arial Narrow" w:cs="Times New Roman"/>
          <w:color w:val="1A1A1A"/>
          <w:lang w:eastAsia="it-IT"/>
        </w:rPr>
        <w:t>ad</w:t>
      </w:r>
      <w:proofErr w:type="gramEnd"/>
      <w:r w:rsidRPr="00831ABE">
        <w:rPr>
          <w:rFonts w:ascii="Arial Narrow" w:eastAsia="Times New Roman" w:hAnsi="Arial Narrow" w:cs="Times New Roman"/>
          <w:color w:val="1A1A1A"/>
          <w:lang w:eastAsia="it-IT"/>
        </w:rPr>
        <w:t xml:space="preserve"> 1/5 della base pignorabile; per i crediti alimentari la misura viene stabilita direttamente dal </w:t>
      </w:r>
      <w:r w:rsidRPr="00947584">
        <w:rPr>
          <w:rFonts w:ascii="Arial Narrow" w:eastAsia="Times New Roman" w:hAnsi="Arial Narrow" w:cs="Times New Roman"/>
          <w:color w:val="1A1A1A"/>
          <w:lang w:eastAsia="it-IT"/>
        </w:rPr>
        <w:t>G</w:t>
      </w:r>
      <w:r w:rsidRPr="00831ABE">
        <w:rPr>
          <w:rFonts w:ascii="Arial Narrow" w:eastAsia="Times New Roman" w:hAnsi="Arial Narrow" w:cs="Times New Roman"/>
          <w:color w:val="1A1A1A"/>
          <w:lang w:eastAsia="it-IT"/>
        </w:rPr>
        <w:t>iudice, mentre per i pignoramenti di diversa natura il limite è rappresentato dalla metà della base pignorabile.</w:t>
      </w:r>
    </w:p>
    <w:p w:rsidR="00947584" w:rsidRPr="00831ABE" w:rsidRDefault="00947584" w:rsidP="00947584">
      <w:pPr>
        <w:spacing w:after="204" w:line="240" w:lineRule="auto"/>
        <w:rPr>
          <w:rFonts w:ascii="Arial Narrow" w:eastAsia="Times New Roman" w:hAnsi="Arial Narrow" w:cs="Times New Roman"/>
          <w:color w:val="1A1A1A"/>
          <w:lang w:eastAsia="it-IT"/>
        </w:rPr>
      </w:pPr>
      <w:r w:rsidRPr="00947584">
        <w:rPr>
          <w:rFonts w:ascii="Arial Narrow" w:eastAsia="Times New Roman" w:hAnsi="Arial Narrow" w:cs="Times New Roman"/>
          <w:i/>
          <w:iCs/>
          <w:color w:val="1A1A1A"/>
          <w:lang w:eastAsia="it-IT"/>
        </w:rPr>
        <w:t xml:space="preserve">Fonte: </w:t>
      </w:r>
      <w:hyperlink r:id="rId10" w:tgtFrame="_blank" w:tooltip="Gazzetta Ufficiale" w:history="1">
        <w:r w:rsidRPr="00947584">
          <w:rPr>
            <w:rFonts w:ascii="Arial Narrow" w:eastAsia="Times New Roman" w:hAnsi="Arial Narrow" w:cs="Times New Roman"/>
            <w:b/>
            <w:bCs/>
            <w:i/>
            <w:iCs/>
            <w:color w:val="4D789C"/>
            <w:lang w:eastAsia="it-IT"/>
          </w:rPr>
          <w:t>Gazzetta Ufficiale</w:t>
        </w:r>
      </w:hyperlink>
      <w:r w:rsidRPr="00947584">
        <w:rPr>
          <w:rFonts w:ascii="Arial Narrow" w:eastAsia="Times New Roman" w:hAnsi="Arial Narrow" w:cs="Times New Roman"/>
          <w:i/>
          <w:iCs/>
          <w:color w:val="1A1A1A"/>
          <w:lang w:eastAsia="it-IT"/>
        </w:rPr>
        <w:t>.</w:t>
      </w:r>
    </w:p>
    <w:p w:rsidR="00947584" w:rsidRDefault="00947584" w:rsidP="00822347">
      <w:pPr>
        <w:spacing w:line="240" w:lineRule="auto"/>
        <w:jc w:val="center"/>
        <w:rPr>
          <w:rFonts w:ascii="Times New Roman" w:eastAsia="Times New Roman" w:hAnsi="Times New Roman" w:cs="Times New Roman"/>
          <w:color w:val="1A1A1A"/>
          <w:lang w:eastAsia="it-IT"/>
        </w:rPr>
      </w:pPr>
    </w:p>
    <w:p w:rsidR="00822347" w:rsidRPr="00442680" w:rsidRDefault="00822347" w:rsidP="00822347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984806" w:themeColor="accent6" w:themeShade="80"/>
          <w:lang w:eastAsia="it-IT"/>
        </w:rPr>
      </w:pPr>
      <w:r w:rsidRPr="00822347">
        <w:rPr>
          <w:rFonts w:ascii="Times New Roman" w:eastAsia="Times New Roman" w:hAnsi="Times New Roman" w:cs="Times New Roman"/>
          <w:i/>
          <w:color w:val="984806" w:themeColor="accent6" w:themeShade="80"/>
          <w:lang w:eastAsia="it-IT"/>
        </w:rPr>
        <w:t>Dott. Francesco Pedone</w:t>
      </w:r>
    </w:p>
    <w:p w:rsidR="00CF564E" w:rsidRDefault="00CF564E"/>
    <w:sectPr w:rsidR="00CF564E" w:rsidSect="00CF56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A57FF"/>
    <w:multiLevelType w:val="multilevel"/>
    <w:tmpl w:val="1F3E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1202D"/>
    <w:multiLevelType w:val="multilevel"/>
    <w:tmpl w:val="39E4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8147A1"/>
    <w:multiLevelType w:val="multilevel"/>
    <w:tmpl w:val="43EE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9C3D3B"/>
    <w:multiLevelType w:val="multilevel"/>
    <w:tmpl w:val="5E4A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1A59C3"/>
    <w:multiLevelType w:val="multilevel"/>
    <w:tmpl w:val="966A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283"/>
  <w:characterSpacingControl w:val="doNotCompress"/>
  <w:compat/>
  <w:rsids>
    <w:rsidRoot w:val="00442680"/>
    <w:rsid w:val="001F4D0B"/>
    <w:rsid w:val="00442680"/>
    <w:rsid w:val="004C0BBA"/>
    <w:rsid w:val="00524AD7"/>
    <w:rsid w:val="005E66FF"/>
    <w:rsid w:val="007B4E4E"/>
    <w:rsid w:val="00816B02"/>
    <w:rsid w:val="00822347"/>
    <w:rsid w:val="00947584"/>
    <w:rsid w:val="00A85D8A"/>
    <w:rsid w:val="00CF564E"/>
    <w:rsid w:val="00E2261C"/>
    <w:rsid w:val="00E9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564E"/>
  </w:style>
  <w:style w:type="paragraph" w:styleId="Titolo1">
    <w:name w:val="heading 1"/>
    <w:basedOn w:val="Normale"/>
    <w:link w:val="Titolo1Carattere"/>
    <w:uiPriority w:val="9"/>
    <w:qFormat/>
    <w:rsid w:val="00442680"/>
    <w:pPr>
      <w:spacing w:after="136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4"/>
      <w:szCs w:val="4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442680"/>
    <w:pPr>
      <w:spacing w:after="136" w:line="240" w:lineRule="auto"/>
      <w:outlineLvl w:val="1"/>
    </w:pPr>
    <w:rPr>
      <w:rFonts w:ascii="Times New Roman" w:eastAsia="Times New Roman" w:hAnsi="Times New Roman" w:cs="Times New Roman"/>
      <w:b/>
      <w:bCs/>
      <w:sz w:val="33"/>
      <w:szCs w:val="33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442680"/>
    <w:pPr>
      <w:spacing w:after="204" w:line="240" w:lineRule="auto"/>
      <w:outlineLvl w:val="3"/>
    </w:pPr>
    <w:rPr>
      <w:rFonts w:ascii="Times New Roman" w:eastAsia="Times New Roman" w:hAnsi="Times New Roman" w:cs="Times New Roman"/>
      <w:b/>
      <w:bCs/>
      <w:sz w:val="25"/>
      <w:szCs w:val="2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2680"/>
    <w:rPr>
      <w:rFonts w:ascii="Times New Roman" w:eastAsia="Times New Roman" w:hAnsi="Times New Roman" w:cs="Times New Roman"/>
      <w:b/>
      <w:bCs/>
      <w:kern w:val="36"/>
      <w:sz w:val="44"/>
      <w:szCs w:val="4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42680"/>
    <w:rPr>
      <w:rFonts w:ascii="Times New Roman" w:eastAsia="Times New Roman" w:hAnsi="Times New Roman" w:cs="Times New Roman"/>
      <w:b/>
      <w:bCs/>
      <w:sz w:val="33"/>
      <w:szCs w:val="33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42680"/>
    <w:rPr>
      <w:rFonts w:ascii="Times New Roman" w:eastAsia="Times New Roman" w:hAnsi="Times New Roman" w:cs="Times New Roman"/>
      <w:b/>
      <w:bCs/>
      <w:sz w:val="25"/>
      <w:szCs w:val="25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42680"/>
    <w:rPr>
      <w:strike w:val="0"/>
      <w:dstrike w:val="0"/>
      <w:color w:val="67B8DC"/>
      <w:u w:val="none"/>
      <w:effect w:val="none"/>
      <w:shd w:val="clear" w:color="auto" w:fill="auto"/>
    </w:rPr>
  </w:style>
  <w:style w:type="character" w:styleId="Enfasigrassetto">
    <w:name w:val="Strong"/>
    <w:basedOn w:val="Carpredefinitoparagrafo"/>
    <w:uiPriority w:val="22"/>
    <w:qFormat/>
    <w:rsid w:val="00442680"/>
    <w:rPr>
      <w:b/>
      <w:bCs/>
    </w:rPr>
  </w:style>
  <w:style w:type="character" w:customStyle="1" w:styleId="date-item1">
    <w:name w:val="date-item1"/>
    <w:basedOn w:val="Carpredefinitoparagrafo"/>
    <w:rsid w:val="00442680"/>
  </w:style>
  <w:style w:type="character" w:customStyle="1" w:styleId="widget-title">
    <w:name w:val="widget-title"/>
    <w:basedOn w:val="Carpredefinitoparagrafo"/>
    <w:rsid w:val="004426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680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E6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E66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4E4E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1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5910">
                  <w:marLeft w:val="136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35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1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10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91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661644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0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72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65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52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7071553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i.it/tag/stipend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mi.it/tag/pension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mi.it/economia/lavoro/approfondimenti/93468/pignoramento-pensione-limiti-garanzie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gazzettaufficiale.it/eli/id/2015/06/27/15G00098/s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mi.it/impresa/contabilita-e-fisco/news/62834/il-pignoramento-equitalia-e-nullo-se-sproporzionato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f.pedone</dc:creator>
  <cp:lastModifiedBy>f.pedone</cp:lastModifiedBy>
  <cp:revision>8</cp:revision>
  <dcterms:created xsi:type="dcterms:W3CDTF">2015-06-25T08:53:00Z</dcterms:created>
  <dcterms:modified xsi:type="dcterms:W3CDTF">2016-04-02T17:26:00Z</dcterms:modified>
</cp:coreProperties>
</file>